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t>工业和信息化部办公厅关于组织开展2024年老年用品产品推广目录申报工作的通知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各省、自治区、直辖市及计划单列市、新疆生产建设兵团工业和信息化主管部门，各有关行业协会：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为贯彻落实《国务院办公厅关于发展银发经济增进老年人福祉的意见》（国办发〔2024〕1号）、工业和信息化部等五部门《关于促进老年用品产业发展的指导意见》（工信部联消费〔2019〕292号）有关要求，加大优质老年用品推广力度，现组织开展2024年老年用品产品推广目录申报工作。有关事项通知如下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一、申报主体及范围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（一）申报主体。凡在中华人民共和国境内注册的开展老年用品研发、生产的企事业单位均可自愿申报。  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（二）产品范围。老年服装服饰、日用辅助产品、养老照护产品、健康促进产品、适老化家居产品、适老环境改善产品等6大领域20个品类。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（一）申报单位应具备以下基本条件：    1.拥有所申报产品的自主品牌；    2.经营状况稳定，有健全的质量管理体系，近3年没有发生质量、安全事故；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3.无侵犯知识产权、违反国家法律法规以及行业政策相关行为。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（二）申报产品应具备以下基本条件：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1.属于附件1所列分类；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2.在市场销售1年以上，具备一定的市场影响力，信誉良好，具有较高的用户认知度和满意度；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3.在设计、材料、技术、功能等方面具有创新性，适老化特征明显，能满足老年人日常生活多样化场景需求；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4.保证质量可靠和使用安全，符合相关国家标准、行业标准或团体标准，属于国家规定强制性市场准入要求范围的应获得相应准入资格。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5.入选2022年、2023年老年用品产品推广目录的产品今年不再申报。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三、组织实施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（一）各省、自治区、直辖市、计划单列市及新疆生产建设兵团工业和信息化主管部门（以下统称省级工业和信息化主管部门）负责组织本地区企业申报工作，行业协会负责组织本行业企业申报工作。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（二）企业自行登录网站（lnyp.cesinet.com）注册后进行信息填报，申报截止日期为6月30日。申报信息应齐全完整、真实有效。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（三）省级工业和信息化主管部门和相关行业协会对申报材料进行初审，确定拟推荐的产品名单。请于7月19日前登录网站（lnyp.cesinet.com）完成初审工作，账号密码随申报通知统一发放。    （四）工业和信息化部以专家评审等方式对通过初审的申报产品进行评定，按照优中选优、示范引领原则确定拟最终入围产品名单，按程序发布《2024年老年用品产品推广目录》。    四、其他事项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（一）省级工业和信息化主管部门、有关行业协会要加强审核把关，做好信息核实和甄别，对推荐企业、产品逐一提出推荐意见，确保推荐工作严肃公正。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（二）入围企业应承担起社会责任，把好产品质量关、生产安全关，持续推动产品创新升级。如发现问题，取消相关产品入围资格。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（三）入围企业可享受国家养老服务相关政策支持。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联系人及电话：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技术支持：杨靳娇 010-64102616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业务内容：朱  蕊 010-68205655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t>附件：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"https://www.miit.gov.cn/cms_files/filemanager/oldfile/miit/n1146285/n1146352/n3054355/n3057643/n3057649/c7950370/part/7953230.doc"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"https://www.miit.gov.cn/cms_files/filemanager/1226211233/attach/20244/40a89f0fea6d4c45b14f92c541cf54ce.et"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sz w:val="21"/>
          <w:szCs w:val="21"/>
        </w:rPr>
        <w:t>1.老年用品产品推广目录分类.et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"https://www.miit.gov.cn/cms_files/filemanager/oldfile/miit/n1146285/n1146352/n3054355/n3057643/n3057649/c7950370/part/7953231.doc"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"https://www.miit.gov.cn/cms_files/filemanager/1226211233/attach/20245/bbeb676c8bb54e5081b9bbaa05517cb3.wps"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sz w:val="21"/>
          <w:szCs w:val="21"/>
        </w:rPr>
        <w:t>2.老年用品产品推广目录申报书.wps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rPr>
          <w:rFonts w:hint="eastAsia" w:ascii="宋体" w:hAnsi="宋体" w:eastAsia="宋体" w:cs="宋体"/>
          <w:sz w:val="21"/>
          <w:szCs w:val="21"/>
        </w:rPr>
        <w:t>工业和信息化部办公厅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rPr>
          <w:rFonts w:hint="eastAsia" w:ascii="宋体" w:hAnsi="宋体" w:eastAsia="宋体" w:cs="宋体"/>
          <w:sz w:val="21"/>
          <w:szCs w:val="21"/>
        </w:rPr>
        <w:t>2024年5月16日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5DCE16"/>
    <w:rsid w:val="707C732C"/>
    <w:rsid w:val="FD5DC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2024-06-04T15:31:00Z</dcterms:created>
  <dc:creator>kylin</dc:creator>
  <cp:lastModifiedBy>真实</cp:lastModifiedBy>
  <dcterms:modified xsi:type="dcterms:W3CDTF">2024-06-07T00:59:45Z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CEC9F62E32CF493EBA2DBBD6F88E3482_13</vt:lpwstr>
  </property>
</Properties>
</file>