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color w:val="000000" w:themeColor="text1"/>
          <w:sz w:val="44"/>
          <w:szCs w:val="4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b/>
          <w:bCs/>
          <w:color w:val="000000" w:themeColor="text1"/>
          <w:sz w:val="52"/>
          <w:szCs w:val="52"/>
          <w:lang w:val="en-US" w:eastAsia="zh-CN"/>
          <w14:textFill>
            <w14:solidFill>
              <w14:schemeClr w14:val="tx1"/>
            </w14:solidFill>
          </w14:textFill>
        </w:rPr>
      </w:pPr>
      <w:r>
        <w:rPr>
          <w:rFonts w:hint="default" w:ascii="Times New Roman" w:hAnsi="Times New Roman" w:eastAsia="黑体" w:cs="Times New Roman"/>
          <w:b/>
          <w:bCs/>
          <w:color w:val="000000" w:themeColor="text1"/>
          <w:sz w:val="52"/>
          <w:szCs w:val="52"/>
          <w:lang w:val="en-US" w:eastAsia="zh-CN"/>
          <w14:textFill>
            <w14:solidFill>
              <w14:schemeClr w14:val="tx1"/>
            </w14:solidFill>
          </w14:textFill>
        </w:rPr>
        <w:t>玉溪市“十四五”卷烟及配套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b/>
          <w:bCs/>
          <w:color w:val="000000" w:themeColor="text1"/>
          <w:sz w:val="52"/>
          <w:szCs w:val="52"/>
          <w:lang w:val="en-US" w:eastAsia="zh-CN"/>
          <w14:textFill>
            <w14:solidFill>
              <w14:schemeClr w14:val="tx1"/>
            </w14:solidFill>
          </w14:textFill>
        </w:rPr>
      </w:pPr>
      <w:r>
        <w:rPr>
          <w:rFonts w:hint="default" w:ascii="Times New Roman" w:hAnsi="Times New Roman" w:eastAsia="黑体" w:cs="Times New Roman"/>
          <w:b/>
          <w:bCs/>
          <w:color w:val="000000" w:themeColor="text1"/>
          <w:sz w:val="52"/>
          <w:szCs w:val="52"/>
          <w:lang w:val="en-US" w:eastAsia="zh-CN"/>
          <w14:textFill>
            <w14:solidFill>
              <w14:schemeClr w14:val="tx1"/>
            </w14:solidFill>
          </w14:textFill>
        </w:rPr>
        <w:t>产业发展规划</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黑体" w:cs="Times New Roman"/>
          <w:b/>
          <w:bCs/>
          <w:color w:val="000000" w:themeColor="text1"/>
          <w:sz w:val="36"/>
          <w:szCs w:val="36"/>
          <w:lang w:val="en-US" w:eastAsia="zh-CN"/>
          <w14:textFill>
            <w14:solidFill>
              <w14:schemeClr w14:val="tx1"/>
            </w14:solidFill>
          </w14:textFill>
        </w:rPr>
      </w:pPr>
      <w:r>
        <w:rPr>
          <w:rFonts w:hint="default" w:ascii="Times New Roman" w:hAnsi="Times New Roman" w:eastAsia="黑体" w:cs="Times New Roman"/>
          <w:b/>
          <w:bCs/>
          <w:color w:val="000000" w:themeColor="text1"/>
          <w:sz w:val="36"/>
          <w:szCs w:val="36"/>
          <w:lang w:val="en-US" w:eastAsia="zh-CN"/>
          <w14:textFill>
            <w14:solidFill>
              <w14:schemeClr w14:val="tx1"/>
            </w14:solidFill>
          </w14:textFill>
        </w:rPr>
        <w:t>（2021-2025年）</w:t>
      </w: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bookmarkStart w:id="43" w:name="_GoBack"/>
      <w:bookmarkEnd w:id="43"/>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0" w:firstLineChars="200"/>
        <w:jc w:val="both"/>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p>
    <w:p>
      <w:pPr>
        <w:pageBreakBefore w:val="0"/>
        <w:kinsoku/>
        <w:wordWrap/>
        <w:topLinePunct w:val="0"/>
        <w:bidi w:val="0"/>
        <w:adjustRightInd/>
        <w:snapToGrid/>
        <w:spacing w:line="580" w:lineRule="exact"/>
        <w:ind w:firstLine="0" w:firstLineChars="0"/>
        <w:jc w:val="center"/>
        <w:rPr>
          <w:rFonts w:hint="default" w:ascii="Times New Roman" w:hAnsi="Times New Roman" w:eastAsia="黑体" w:cs="Times New Roman"/>
          <w:b/>
          <w:bCs/>
          <w:color w:val="000000" w:themeColor="text1"/>
          <w:sz w:val="36"/>
          <w:szCs w:val="36"/>
          <w14:textFill>
            <w14:solidFill>
              <w14:schemeClr w14:val="tx1"/>
            </w14:solidFill>
          </w14:textFill>
        </w:rPr>
      </w:pPr>
      <w:r>
        <w:rPr>
          <w:rFonts w:hint="default" w:ascii="Times New Roman" w:hAnsi="Times New Roman" w:eastAsia="黑体" w:cs="Times New Roman"/>
          <w:b/>
          <w:bCs/>
          <w:color w:val="000000" w:themeColor="text1"/>
          <w:sz w:val="36"/>
          <w:szCs w:val="36"/>
          <w14:textFill>
            <w14:solidFill>
              <w14:schemeClr w14:val="tx1"/>
            </w14:solidFill>
          </w14:textFill>
        </w:rPr>
        <w:t>云南普洛特企业管理咨询有限公司</w:t>
      </w:r>
    </w:p>
    <w:p>
      <w:pPr>
        <w:pageBreakBefore w:val="0"/>
        <w:kinsoku/>
        <w:wordWrap/>
        <w:topLinePunct w:val="0"/>
        <w:bidi w:val="0"/>
        <w:adjustRightInd/>
        <w:snapToGrid/>
        <w:spacing w:line="580" w:lineRule="exact"/>
        <w:ind w:firstLine="0" w:firstLineChars="0"/>
        <w:jc w:val="center"/>
        <w:rPr>
          <w:rFonts w:hint="default" w:ascii="Times New Roman" w:hAnsi="Times New Roman" w:eastAsia="黑体" w:cs="Times New Roman"/>
          <w:b/>
          <w:bCs/>
          <w:color w:val="000000" w:themeColor="text1"/>
          <w:sz w:val="36"/>
          <w:szCs w:val="36"/>
          <w:lang w:eastAsia="zh-CN"/>
          <w14:textFill>
            <w14:solidFill>
              <w14:schemeClr w14:val="tx1"/>
            </w14:solidFill>
          </w14:textFill>
        </w:rPr>
      </w:pPr>
      <w:r>
        <w:rPr>
          <w:rFonts w:hint="default" w:ascii="Times New Roman" w:hAnsi="Times New Roman" w:eastAsia="黑体" w:cs="Times New Roman"/>
          <w:b/>
          <w:bCs/>
          <w:color w:val="000000" w:themeColor="text1"/>
          <w:sz w:val="36"/>
          <w:szCs w:val="36"/>
          <w:lang w:eastAsia="zh-CN"/>
          <w14:textFill>
            <w14:solidFill>
              <w14:schemeClr w14:val="tx1"/>
            </w14:solidFill>
          </w14:textFill>
        </w:rPr>
        <w:t>玉溪市工业和信息化局</w:t>
      </w:r>
    </w:p>
    <w:p>
      <w:pPr>
        <w:pageBreakBefore w:val="0"/>
        <w:kinsoku/>
        <w:wordWrap/>
        <w:topLinePunct w:val="0"/>
        <w:bidi w:val="0"/>
        <w:adjustRightInd/>
        <w:snapToGrid/>
        <w:spacing w:line="580" w:lineRule="exact"/>
        <w:ind w:firstLine="0" w:firstLineChars="0"/>
        <w:jc w:val="center"/>
        <w:rPr>
          <w:rFonts w:hint="default" w:ascii="Times New Roman" w:hAnsi="Times New Roman" w:eastAsia="黑体" w:cs="Times New Roman"/>
          <w:b/>
          <w:bCs/>
          <w:color w:val="auto"/>
          <w:sz w:val="36"/>
          <w:szCs w:val="36"/>
        </w:rPr>
      </w:pPr>
      <w:r>
        <w:rPr>
          <w:rFonts w:hint="default" w:ascii="Times New Roman" w:hAnsi="Times New Roman" w:eastAsia="黑体" w:cs="Times New Roman"/>
          <w:b/>
          <w:bCs/>
          <w:color w:val="auto"/>
          <w:sz w:val="36"/>
          <w:szCs w:val="36"/>
          <w:lang w:val="en-US" w:eastAsia="zh-CN"/>
        </w:rPr>
        <w:t>202</w:t>
      </w:r>
      <w:r>
        <w:rPr>
          <w:rFonts w:hint="eastAsia" w:eastAsia="黑体" w:cs="Times New Roman"/>
          <w:b/>
          <w:bCs/>
          <w:color w:val="auto"/>
          <w:sz w:val="36"/>
          <w:szCs w:val="36"/>
          <w:lang w:val="en-US" w:eastAsia="zh-CN"/>
        </w:rPr>
        <w:t>1</w:t>
      </w:r>
      <w:r>
        <w:rPr>
          <w:rFonts w:hint="default" w:ascii="Times New Roman" w:hAnsi="Times New Roman" w:eastAsia="黑体" w:cs="Times New Roman"/>
          <w:b/>
          <w:bCs/>
          <w:color w:val="auto"/>
          <w:sz w:val="36"/>
          <w:szCs w:val="36"/>
          <w:lang w:val="en-US" w:eastAsia="zh-CN"/>
        </w:rPr>
        <w:t>年</w:t>
      </w:r>
      <w:r>
        <w:rPr>
          <w:rFonts w:hint="eastAsia" w:eastAsia="黑体" w:cs="Times New Roman"/>
          <w:b/>
          <w:bCs/>
          <w:color w:val="auto"/>
          <w:sz w:val="36"/>
          <w:szCs w:val="36"/>
          <w:lang w:val="en-US" w:eastAsia="zh-CN"/>
        </w:rPr>
        <w:t>11</w:t>
      </w:r>
      <w:r>
        <w:rPr>
          <w:rFonts w:hint="default" w:ascii="Times New Roman" w:hAnsi="Times New Roman" w:eastAsia="黑体" w:cs="Times New Roman"/>
          <w:b/>
          <w:bCs/>
          <w:color w:val="auto"/>
          <w:sz w:val="36"/>
          <w:szCs w:val="36"/>
        </w:rPr>
        <w:t>月</w:t>
      </w:r>
    </w:p>
    <w:p>
      <w:pPr>
        <w:pStyle w:val="21"/>
        <w:keepNext w:val="0"/>
        <w:keepLines w:val="0"/>
        <w:pageBreakBefore w:val="0"/>
        <w:widowControl w:val="0"/>
        <w:kinsoku/>
        <w:wordWrap/>
        <w:overflowPunct/>
        <w:topLinePunct w:val="0"/>
        <w:autoSpaceDE w:val="0"/>
        <w:autoSpaceDN w:val="0"/>
        <w:bidi w:val="0"/>
        <w:adjustRightInd/>
        <w:snapToGrid/>
        <w:spacing w:line="580" w:lineRule="exact"/>
        <w:ind w:firstLine="643" w:firstLineChars="200"/>
        <w:jc w:val="both"/>
        <w:textAlignment w:val="auto"/>
        <w:rPr>
          <w:rFonts w:hint="default" w:ascii="Times New Roman" w:hAnsi="Times New Roman" w:eastAsia="仿宋_GB2312" w:cs="Times New Roman"/>
          <w:b/>
          <w:bCs/>
          <w:color w:val="auto"/>
          <w:kern w:val="2"/>
          <w:sz w:val="32"/>
          <w:szCs w:val="32"/>
          <w:lang w:val="en-US" w:eastAsia="zh-CN" w:bidi="ar-SA"/>
        </w:rPr>
        <w:sectPr>
          <w:headerReference r:id="rId5" w:type="default"/>
          <w:footerReference r:id="rId6" w:type="default"/>
          <w:pgSz w:w="11906" w:h="16838"/>
          <w:pgMar w:top="1803" w:right="1440" w:bottom="1803"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default" w:ascii="Times New Roman" w:hAnsi="Times New Roman" w:eastAsia="黑体" w:cs="Times New Roman"/>
          <w:color w:val="000000" w:themeColor="text1"/>
          <w:kern w:val="2"/>
          <w:sz w:val="36"/>
          <w:szCs w:val="36"/>
          <w:lang w:val="en-US" w:eastAsia="zh-CN" w:bidi="ar-SA"/>
          <w14:textFill>
            <w14:solidFill>
              <w14:schemeClr w14:val="tx1"/>
            </w14:solidFill>
          </w14:textFill>
        </w:rPr>
      </w:pPr>
      <w:r>
        <w:rPr>
          <w:rFonts w:hint="default" w:ascii="Times New Roman" w:hAnsi="Times New Roman" w:eastAsia="黑体" w:cs="Times New Roman"/>
          <w:color w:val="000000" w:themeColor="text1"/>
          <w:kern w:val="2"/>
          <w:sz w:val="36"/>
          <w:szCs w:val="36"/>
          <w:lang w:val="en-US" w:eastAsia="zh-CN" w:bidi="ar-SA"/>
          <w14:textFill>
            <w14:solidFill>
              <w14:schemeClr w14:val="tx1"/>
            </w14:solidFill>
          </w14:textFill>
        </w:rPr>
        <w:t>目 录</w:t>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color w:val="000000" w:themeColor="text1"/>
          <w14:textFill>
            <w14:solidFill>
              <w14:schemeClr w14:val="tx1"/>
            </w14:solidFill>
          </w14:textFill>
        </w:rPr>
        <w:instrText xml:space="preserve">TOC \o "1-2" \h \u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_Toc21068 </w:instrText>
      </w:r>
      <w:r>
        <w:rPr>
          <w:rFonts w:hint="default" w:ascii="Times New Roman" w:hAnsi="Times New Roman" w:cs="Times New Roman"/>
        </w:rPr>
        <w:fldChar w:fldCharType="separate"/>
      </w:r>
      <w:r>
        <w:rPr>
          <w:rFonts w:hint="default" w:ascii="Times New Roman" w:hAnsi="Times New Roman" w:cs="Times New Roman"/>
          <w:bCs/>
          <w:szCs w:val="36"/>
          <w:lang w:val="en-US" w:eastAsia="zh-CN"/>
        </w:rPr>
        <w:t>前 言</w:t>
      </w:r>
      <w:r>
        <w:tab/>
      </w:r>
      <w:r>
        <w:fldChar w:fldCharType="begin"/>
      </w:r>
      <w:r>
        <w:instrText xml:space="preserve"> PAGEREF _Toc21068 \h </w:instrText>
      </w:r>
      <w:r>
        <w:fldChar w:fldCharType="separate"/>
      </w:r>
      <w:r>
        <w:t>1</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_Toc23982 </w:instrText>
      </w:r>
      <w:r>
        <w:rPr>
          <w:rFonts w:hint="default" w:ascii="Times New Roman" w:hAnsi="Times New Roman" w:cs="Times New Roman"/>
        </w:rPr>
        <w:fldChar w:fldCharType="separate"/>
      </w:r>
      <w:r>
        <w:rPr>
          <w:rFonts w:hint="default" w:ascii="Times New Roman" w:hAnsi="Times New Roman" w:cs="Times New Roman"/>
          <w:lang w:val="en-US" w:eastAsia="zh-CN"/>
        </w:rPr>
        <w:t>一、“十三五”回顾</w:t>
      </w:r>
      <w:r>
        <w:tab/>
      </w:r>
      <w:r>
        <w:fldChar w:fldCharType="begin"/>
      </w:r>
      <w:r>
        <w:instrText xml:space="preserve"> PAGEREF _Toc23982 \h </w:instrText>
      </w:r>
      <w:r>
        <w:fldChar w:fldCharType="separate"/>
      </w:r>
      <w:r>
        <w:t>2</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_Toc14453 </w:instrText>
      </w:r>
      <w:r>
        <w:rPr>
          <w:rFonts w:hint="default" w:ascii="Times New Roman" w:hAnsi="Times New Roman" w:cs="Times New Roman"/>
        </w:rPr>
        <w:fldChar w:fldCharType="separate"/>
      </w:r>
      <w:r>
        <w:rPr>
          <w:rFonts w:hint="default" w:ascii="Times New Roman" w:hAnsi="Times New Roman" w:cs="Times New Roman"/>
          <w:lang w:val="en-US" w:eastAsia="zh-CN"/>
        </w:rPr>
        <w:t>（一）</w:t>
      </w:r>
      <w:r>
        <w:rPr>
          <w:rFonts w:hint="eastAsia" w:ascii="Times New Roman" w:hAnsi="Times New Roman"/>
          <w:szCs w:val="22"/>
        </w:rPr>
        <w:t>“十三五”</w:t>
      </w:r>
      <w:r>
        <w:rPr>
          <w:rFonts w:hint="eastAsia"/>
          <w:szCs w:val="22"/>
          <w:lang w:eastAsia="zh-CN"/>
        </w:rPr>
        <w:t>期间产业发展情况</w:t>
      </w:r>
      <w:r>
        <w:tab/>
      </w:r>
      <w:r>
        <w:fldChar w:fldCharType="begin"/>
      </w:r>
      <w:r>
        <w:instrText xml:space="preserve"> PAGEREF _Toc14453 \h </w:instrText>
      </w:r>
      <w:r>
        <w:fldChar w:fldCharType="separate"/>
      </w:r>
      <w:r>
        <w:t>2</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_Toc6862 </w:instrText>
      </w:r>
      <w:r>
        <w:rPr>
          <w:rFonts w:hint="default" w:ascii="Times New Roman" w:hAnsi="Times New Roman" w:cs="Times New Roman"/>
        </w:rPr>
        <w:fldChar w:fldCharType="separate"/>
      </w:r>
      <w:r>
        <w:rPr>
          <w:rFonts w:hint="default" w:ascii="Times New Roman" w:hAnsi="Times New Roman" w:cs="Times New Roman"/>
          <w:lang w:val="en-US" w:eastAsia="zh-CN"/>
        </w:rPr>
        <w:t>（二）取得成效</w:t>
      </w:r>
      <w:r>
        <w:tab/>
      </w:r>
      <w:r>
        <w:fldChar w:fldCharType="begin"/>
      </w:r>
      <w:r>
        <w:instrText xml:space="preserve"> PAGEREF _Toc6862 \h </w:instrText>
      </w:r>
      <w:r>
        <w:fldChar w:fldCharType="separate"/>
      </w:r>
      <w:r>
        <w:t>2</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_Toc8042 </w:instrText>
      </w:r>
      <w:r>
        <w:rPr>
          <w:rFonts w:hint="default" w:ascii="Times New Roman" w:hAnsi="Times New Roman" w:cs="Times New Roman"/>
        </w:rPr>
        <w:fldChar w:fldCharType="separate"/>
      </w:r>
      <w:r>
        <w:rPr>
          <w:rFonts w:hint="default" w:ascii="Times New Roman" w:hAnsi="Times New Roman" w:cs="Times New Roman"/>
          <w:lang w:val="en-US" w:eastAsia="zh-CN"/>
        </w:rPr>
        <w:t>（三）存在问题</w:t>
      </w:r>
      <w:r>
        <w:tab/>
      </w:r>
      <w:r>
        <w:fldChar w:fldCharType="begin"/>
      </w:r>
      <w:r>
        <w:instrText xml:space="preserve"> PAGEREF _Toc8042 \h </w:instrText>
      </w:r>
      <w:r>
        <w:fldChar w:fldCharType="separate"/>
      </w:r>
      <w:r>
        <w:t>4</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_Toc17292 </w:instrText>
      </w:r>
      <w:r>
        <w:rPr>
          <w:rFonts w:hint="default" w:ascii="Times New Roman" w:hAnsi="Times New Roman" w:cs="Times New Roman"/>
        </w:rPr>
        <w:fldChar w:fldCharType="separate"/>
      </w:r>
      <w:r>
        <w:rPr>
          <w:rFonts w:hint="default" w:ascii="Times New Roman" w:hAnsi="Times New Roman" w:cs="Times New Roman"/>
          <w:lang w:val="en-US" w:eastAsia="zh-CN"/>
        </w:rPr>
        <w:t>二、产业面临形势</w:t>
      </w:r>
      <w:r>
        <w:tab/>
      </w:r>
      <w:r>
        <w:fldChar w:fldCharType="begin"/>
      </w:r>
      <w:r>
        <w:instrText xml:space="preserve"> PAGEREF _Toc17292 \h </w:instrText>
      </w:r>
      <w:r>
        <w:fldChar w:fldCharType="separate"/>
      </w:r>
      <w:r>
        <w:t>6</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_Toc25202 </w:instrText>
      </w:r>
      <w:r>
        <w:rPr>
          <w:rFonts w:hint="default" w:ascii="Times New Roman" w:hAnsi="Times New Roman" w:cs="Times New Roman"/>
        </w:rPr>
        <w:fldChar w:fldCharType="separate"/>
      </w:r>
      <w:r>
        <w:rPr>
          <w:rFonts w:hint="default" w:ascii="Times New Roman" w:hAnsi="Times New Roman" w:cs="Times New Roman"/>
          <w:lang w:val="en-US" w:eastAsia="zh-CN"/>
        </w:rPr>
        <w:t>（一）控烟力度加强，竞争更加激烈</w:t>
      </w:r>
      <w:r>
        <w:tab/>
      </w:r>
      <w:r>
        <w:fldChar w:fldCharType="begin"/>
      </w:r>
      <w:r>
        <w:instrText xml:space="preserve"> PAGEREF _Toc25202 \h </w:instrText>
      </w:r>
      <w:r>
        <w:fldChar w:fldCharType="separate"/>
      </w:r>
      <w:r>
        <w:t>6</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_Toc16460 </w:instrText>
      </w:r>
      <w:r>
        <w:rPr>
          <w:rFonts w:hint="default" w:ascii="Times New Roman" w:hAnsi="Times New Roman" w:cs="Times New Roman"/>
        </w:rPr>
        <w:fldChar w:fldCharType="separate"/>
      </w:r>
      <w:r>
        <w:rPr>
          <w:rFonts w:hint="default" w:ascii="Times New Roman" w:hAnsi="Times New Roman" w:cs="Times New Roman"/>
          <w:lang w:val="en-US" w:eastAsia="zh-CN"/>
        </w:rPr>
        <w:t>（二）新型烟草迅速扩张</w:t>
      </w:r>
      <w:r>
        <w:tab/>
      </w:r>
      <w:r>
        <w:fldChar w:fldCharType="begin"/>
      </w:r>
      <w:r>
        <w:instrText xml:space="preserve"> PAGEREF _Toc16460 \h </w:instrText>
      </w:r>
      <w:r>
        <w:fldChar w:fldCharType="separate"/>
      </w:r>
      <w:r>
        <w:t>7</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_Toc8652 </w:instrText>
      </w:r>
      <w:r>
        <w:rPr>
          <w:rFonts w:hint="default" w:ascii="Times New Roman" w:hAnsi="Times New Roman" w:cs="Times New Roman"/>
        </w:rPr>
        <w:fldChar w:fldCharType="separate"/>
      </w:r>
      <w:r>
        <w:rPr>
          <w:rFonts w:hint="default" w:ascii="Times New Roman" w:hAnsi="Times New Roman" w:cs="Times New Roman"/>
          <w:lang w:val="en-US" w:eastAsia="zh-CN"/>
        </w:rPr>
        <w:t>（三）消费结构变化</w:t>
      </w:r>
      <w:r>
        <w:tab/>
      </w:r>
      <w:r>
        <w:fldChar w:fldCharType="begin"/>
      </w:r>
      <w:r>
        <w:instrText xml:space="preserve"> PAGEREF _Toc8652 \h </w:instrText>
      </w:r>
      <w:r>
        <w:fldChar w:fldCharType="separate"/>
      </w:r>
      <w:r>
        <w:t>8</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_Toc19472 </w:instrText>
      </w:r>
      <w:r>
        <w:rPr>
          <w:rFonts w:hint="default" w:ascii="Times New Roman" w:hAnsi="Times New Roman" w:cs="Times New Roman"/>
        </w:rPr>
        <w:fldChar w:fldCharType="separate"/>
      </w:r>
      <w:r>
        <w:rPr>
          <w:rFonts w:hint="default" w:ascii="Times New Roman" w:hAnsi="Times New Roman" w:cs="Times New Roman"/>
          <w:lang w:val="en-US" w:eastAsia="zh-CN"/>
        </w:rPr>
        <w:t>（四）配套产业倒逼效应显现</w:t>
      </w:r>
      <w:r>
        <w:tab/>
      </w:r>
      <w:r>
        <w:fldChar w:fldCharType="begin"/>
      </w:r>
      <w:r>
        <w:instrText xml:space="preserve"> PAGEREF _Toc19472 \h </w:instrText>
      </w:r>
      <w:r>
        <w:fldChar w:fldCharType="separate"/>
      </w:r>
      <w:r>
        <w:t>8</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_Toc24876 </w:instrText>
      </w:r>
      <w:r>
        <w:rPr>
          <w:rFonts w:hint="default" w:ascii="Times New Roman" w:hAnsi="Times New Roman" w:cs="Times New Roman"/>
        </w:rPr>
        <w:fldChar w:fldCharType="separate"/>
      </w:r>
      <w:r>
        <w:rPr>
          <w:rFonts w:hint="default" w:ascii="Times New Roman" w:hAnsi="Times New Roman" w:cs="Times New Roman"/>
          <w:lang w:val="en-US" w:eastAsia="zh-CN"/>
        </w:rPr>
        <w:t>三、“十四五”发展</w:t>
      </w:r>
      <w:r>
        <w:rPr>
          <w:rFonts w:hint="default" w:ascii="Times New Roman" w:hAnsi="Times New Roman" w:cs="Times New Roman"/>
          <w:lang w:eastAsia="zh-CN"/>
        </w:rPr>
        <w:t>思路及目标</w:t>
      </w:r>
      <w:r>
        <w:tab/>
      </w:r>
      <w:r>
        <w:fldChar w:fldCharType="begin"/>
      </w:r>
      <w:r>
        <w:instrText xml:space="preserve"> PAGEREF _Toc24876 \h </w:instrText>
      </w:r>
      <w:r>
        <w:fldChar w:fldCharType="separate"/>
      </w:r>
      <w:r>
        <w:t>9</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_Toc9612 </w:instrText>
      </w:r>
      <w:r>
        <w:rPr>
          <w:rFonts w:hint="default" w:ascii="Times New Roman" w:hAnsi="Times New Roman" w:cs="Times New Roman"/>
        </w:rPr>
        <w:fldChar w:fldCharType="separate"/>
      </w:r>
      <w:r>
        <w:rPr>
          <w:rFonts w:hint="default" w:ascii="Times New Roman" w:hAnsi="Times New Roman" w:cs="Times New Roman"/>
          <w:lang w:val="en-US" w:eastAsia="zh-CN"/>
        </w:rPr>
        <w:t>（一）发展思路</w:t>
      </w:r>
      <w:r>
        <w:tab/>
      </w:r>
      <w:r>
        <w:fldChar w:fldCharType="begin"/>
      </w:r>
      <w:r>
        <w:instrText xml:space="preserve"> PAGEREF _Toc9612 \h </w:instrText>
      </w:r>
      <w:r>
        <w:fldChar w:fldCharType="separate"/>
      </w:r>
      <w:r>
        <w:t>9</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_Toc20222 </w:instrText>
      </w:r>
      <w:r>
        <w:rPr>
          <w:rFonts w:hint="default" w:ascii="Times New Roman" w:hAnsi="Times New Roman" w:cs="Times New Roman"/>
        </w:rPr>
        <w:fldChar w:fldCharType="separate"/>
      </w:r>
      <w:r>
        <w:rPr>
          <w:rFonts w:hint="default" w:ascii="Times New Roman" w:hAnsi="Times New Roman" w:cs="Times New Roman"/>
          <w:lang w:val="en-US" w:eastAsia="zh-CN"/>
        </w:rPr>
        <w:t>（二）发展目标</w:t>
      </w:r>
      <w:r>
        <w:tab/>
      </w:r>
      <w:r>
        <w:fldChar w:fldCharType="begin"/>
      </w:r>
      <w:r>
        <w:instrText xml:space="preserve"> PAGEREF _Toc20222 \h </w:instrText>
      </w:r>
      <w:r>
        <w:fldChar w:fldCharType="separate"/>
      </w:r>
      <w:r>
        <w:t>9</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_Toc10723 </w:instrText>
      </w:r>
      <w:r>
        <w:rPr>
          <w:rFonts w:hint="default" w:ascii="Times New Roman" w:hAnsi="Times New Roman" w:cs="Times New Roman"/>
        </w:rPr>
        <w:fldChar w:fldCharType="separate"/>
      </w:r>
      <w:r>
        <w:rPr>
          <w:rFonts w:hint="default" w:ascii="Times New Roman" w:hAnsi="Times New Roman" w:cs="Times New Roman"/>
          <w:lang w:val="en-US" w:eastAsia="zh-CN"/>
        </w:rPr>
        <w:t>四、“十四五”发展方向</w:t>
      </w:r>
      <w:r>
        <w:tab/>
      </w:r>
      <w:r>
        <w:fldChar w:fldCharType="begin"/>
      </w:r>
      <w:r>
        <w:instrText xml:space="preserve"> PAGEREF _Toc10723 \h </w:instrText>
      </w:r>
      <w:r>
        <w:fldChar w:fldCharType="separate"/>
      </w:r>
      <w:r>
        <w:t>10</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_Toc8885 </w:instrText>
      </w:r>
      <w:r>
        <w:rPr>
          <w:rFonts w:hint="default" w:ascii="Times New Roman" w:hAnsi="Times New Roman" w:cs="Times New Roman"/>
        </w:rPr>
        <w:fldChar w:fldCharType="separate"/>
      </w:r>
      <w:r>
        <w:rPr>
          <w:rFonts w:hint="default" w:ascii="Times New Roman" w:hAnsi="Times New Roman" w:cs="Times New Roman"/>
          <w:lang w:val="en-US" w:eastAsia="zh-CN"/>
        </w:rPr>
        <w:t>（一）加快卷烟业优化升级</w:t>
      </w:r>
      <w:r>
        <w:tab/>
      </w:r>
      <w:r>
        <w:fldChar w:fldCharType="begin"/>
      </w:r>
      <w:r>
        <w:instrText xml:space="preserve"> PAGEREF _Toc8885 \h </w:instrText>
      </w:r>
      <w:r>
        <w:fldChar w:fldCharType="separate"/>
      </w:r>
      <w:r>
        <w:t>10</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_Toc11818 </w:instrText>
      </w:r>
      <w:r>
        <w:rPr>
          <w:rFonts w:hint="default" w:ascii="Times New Roman" w:hAnsi="Times New Roman" w:cs="Times New Roman"/>
        </w:rPr>
        <w:fldChar w:fldCharType="separate"/>
      </w:r>
      <w:r>
        <w:rPr>
          <w:rFonts w:hint="default" w:ascii="Times New Roman" w:hAnsi="Times New Roman" w:cs="Times New Roman"/>
          <w:lang w:val="en-US" w:eastAsia="zh-CN"/>
        </w:rPr>
        <w:t>（二）推动配套业提质增效</w:t>
      </w:r>
      <w:r>
        <w:tab/>
      </w:r>
      <w:r>
        <w:fldChar w:fldCharType="begin"/>
      </w:r>
      <w:r>
        <w:instrText xml:space="preserve"> PAGEREF _Toc11818 \h </w:instrText>
      </w:r>
      <w:r>
        <w:fldChar w:fldCharType="separate"/>
      </w:r>
      <w:r>
        <w:t>12</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_Toc12987 </w:instrText>
      </w:r>
      <w:r>
        <w:rPr>
          <w:rFonts w:hint="default" w:ascii="Times New Roman" w:hAnsi="Times New Roman" w:cs="Times New Roman"/>
        </w:rPr>
        <w:fldChar w:fldCharType="separate"/>
      </w:r>
      <w:r>
        <w:rPr>
          <w:rFonts w:hint="default" w:ascii="Times New Roman" w:hAnsi="Times New Roman" w:cs="Times New Roman"/>
          <w:lang w:val="en-US" w:eastAsia="zh-CN"/>
        </w:rPr>
        <w:t>五、“十四五”重点任务</w:t>
      </w:r>
      <w:r>
        <w:tab/>
      </w:r>
      <w:r>
        <w:fldChar w:fldCharType="begin"/>
      </w:r>
      <w:r>
        <w:instrText xml:space="preserve"> PAGEREF _Toc12987 \h </w:instrText>
      </w:r>
      <w:r>
        <w:fldChar w:fldCharType="separate"/>
      </w:r>
      <w:r>
        <w:t>16</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_Toc22054 </w:instrText>
      </w:r>
      <w:r>
        <w:rPr>
          <w:rFonts w:hint="default" w:ascii="Times New Roman" w:hAnsi="Times New Roman" w:cs="Times New Roman"/>
        </w:rPr>
        <w:fldChar w:fldCharType="separate"/>
      </w:r>
      <w:r>
        <w:rPr>
          <w:rFonts w:hint="default" w:ascii="Times New Roman" w:hAnsi="Times New Roman" w:cs="Times New Roman"/>
          <w:lang w:val="en-US" w:eastAsia="zh-CN"/>
        </w:rPr>
        <w:t>（一）着力打造数字烟草</w:t>
      </w:r>
      <w:r>
        <w:tab/>
      </w:r>
      <w:r>
        <w:fldChar w:fldCharType="begin"/>
      </w:r>
      <w:r>
        <w:instrText xml:space="preserve"> PAGEREF _Toc22054 \h </w:instrText>
      </w:r>
      <w:r>
        <w:fldChar w:fldCharType="separate"/>
      </w:r>
      <w:r>
        <w:t>16</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_Toc9918 </w:instrText>
      </w:r>
      <w:r>
        <w:rPr>
          <w:rFonts w:hint="default" w:ascii="Times New Roman" w:hAnsi="Times New Roman" w:cs="Times New Roman"/>
        </w:rPr>
        <w:fldChar w:fldCharType="separate"/>
      </w:r>
      <w:r>
        <w:rPr>
          <w:rFonts w:hint="default" w:ascii="Times New Roman" w:hAnsi="Times New Roman" w:cs="Times New Roman"/>
          <w:lang w:val="en-US" w:eastAsia="zh-CN"/>
        </w:rPr>
        <w:t>（</w:t>
      </w:r>
      <w:r>
        <w:rPr>
          <w:rFonts w:hint="eastAsia" w:ascii="Times New Roman" w:hAnsi="Times New Roman" w:cs="Times New Roman"/>
          <w:lang w:val="en-US" w:eastAsia="zh-CN"/>
        </w:rPr>
        <w:t>二</w:t>
      </w:r>
      <w:r>
        <w:rPr>
          <w:rFonts w:hint="default" w:ascii="Times New Roman" w:hAnsi="Times New Roman" w:cs="Times New Roman"/>
          <w:lang w:val="en-US" w:eastAsia="zh-CN"/>
        </w:rPr>
        <w:t>）</w:t>
      </w:r>
      <w:r>
        <w:rPr>
          <w:rFonts w:hint="eastAsia" w:ascii="Times New Roman" w:hAnsi="Times New Roman" w:cs="Times New Roman"/>
          <w:lang w:val="en-US" w:eastAsia="zh-CN"/>
        </w:rPr>
        <w:t>重塑</w:t>
      </w:r>
      <w:r>
        <w:rPr>
          <w:rFonts w:hint="default" w:ascii="Times New Roman" w:hAnsi="Times New Roman" w:cs="Times New Roman"/>
          <w:lang w:val="en-US" w:eastAsia="zh-CN"/>
        </w:rPr>
        <w:t>品牌</w:t>
      </w:r>
      <w:r>
        <w:rPr>
          <w:rFonts w:hint="eastAsia" w:ascii="Times New Roman" w:hAnsi="Times New Roman" w:cs="Times New Roman"/>
          <w:lang w:val="en-US" w:eastAsia="zh-CN"/>
        </w:rPr>
        <w:t>竞争力</w:t>
      </w:r>
      <w:r>
        <w:tab/>
      </w:r>
      <w:r>
        <w:fldChar w:fldCharType="begin"/>
      </w:r>
      <w:r>
        <w:instrText xml:space="preserve"> PAGEREF _Toc9918 \h </w:instrText>
      </w:r>
      <w:r>
        <w:fldChar w:fldCharType="separate"/>
      </w:r>
      <w:r>
        <w:t>17</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_Toc23010 </w:instrText>
      </w:r>
      <w:r>
        <w:rPr>
          <w:rFonts w:hint="default" w:ascii="Times New Roman" w:hAnsi="Times New Roman" w:cs="Times New Roman"/>
        </w:rPr>
        <w:fldChar w:fldCharType="separate"/>
      </w:r>
      <w:r>
        <w:rPr>
          <w:rFonts w:hint="default" w:ascii="Times New Roman" w:hAnsi="Times New Roman" w:cs="Times New Roman"/>
          <w:lang w:val="en-US" w:eastAsia="zh-CN"/>
        </w:rPr>
        <w:t>（</w:t>
      </w:r>
      <w:r>
        <w:rPr>
          <w:rFonts w:hint="eastAsia" w:ascii="Times New Roman" w:hAnsi="Times New Roman" w:cs="Times New Roman"/>
          <w:lang w:val="en-US" w:eastAsia="zh-CN"/>
        </w:rPr>
        <w:t>三</w:t>
      </w:r>
      <w:r>
        <w:rPr>
          <w:rFonts w:hint="default" w:ascii="Times New Roman" w:hAnsi="Times New Roman" w:cs="Times New Roman"/>
          <w:lang w:val="en-US" w:eastAsia="zh-CN"/>
        </w:rPr>
        <w:t>）不断优化供给结构</w:t>
      </w:r>
      <w:r>
        <w:tab/>
      </w:r>
      <w:r>
        <w:fldChar w:fldCharType="begin"/>
      </w:r>
      <w:r>
        <w:instrText xml:space="preserve"> PAGEREF _Toc23010 \h </w:instrText>
      </w:r>
      <w:r>
        <w:fldChar w:fldCharType="separate"/>
      </w:r>
      <w:r>
        <w:t>18</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_Toc4449 </w:instrText>
      </w:r>
      <w:r>
        <w:rPr>
          <w:rFonts w:hint="default" w:ascii="Times New Roman" w:hAnsi="Times New Roman" w:cs="Times New Roman"/>
        </w:rPr>
        <w:fldChar w:fldCharType="separate"/>
      </w:r>
      <w:r>
        <w:rPr>
          <w:rFonts w:hint="default" w:ascii="Times New Roman" w:hAnsi="Times New Roman" w:cs="Times New Roman"/>
          <w:lang w:val="en-US" w:eastAsia="zh-CN"/>
        </w:rPr>
        <w:t>（</w:t>
      </w:r>
      <w:r>
        <w:rPr>
          <w:rFonts w:hint="eastAsia" w:ascii="Times New Roman" w:hAnsi="Times New Roman" w:cs="Times New Roman"/>
          <w:lang w:val="en-US" w:eastAsia="zh-CN"/>
        </w:rPr>
        <w:t>四</w:t>
      </w:r>
      <w:r>
        <w:rPr>
          <w:rFonts w:hint="default" w:ascii="Times New Roman" w:hAnsi="Times New Roman" w:cs="Times New Roman"/>
          <w:lang w:val="en-US" w:eastAsia="zh-CN"/>
        </w:rPr>
        <w:t>）持续加大创新研发</w:t>
      </w:r>
      <w:r>
        <w:tab/>
      </w:r>
      <w:r>
        <w:fldChar w:fldCharType="begin"/>
      </w:r>
      <w:r>
        <w:instrText xml:space="preserve"> PAGEREF _Toc4449 \h </w:instrText>
      </w:r>
      <w:r>
        <w:fldChar w:fldCharType="separate"/>
      </w:r>
      <w:r>
        <w:t>19</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_Toc30992 </w:instrText>
      </w:r>
      <w:r>
        <w:rPr>
          <w:rFonts w:hint="default" w:ascii="Times New Roman" w:hAnsi="Times New Roman" w:cs="Times New Roman"/>
        </w:rPr>
        <w:fldChar w:fldCharType="separate"/>
      </w:r>
      <w:r>
        <w:rPr>
          <w:rFonts w:hint="default" w:ascii="Times New Roman" w:hAnsi="Times New Roman" w:cs="Times New Roman"/>
          <w:lang w:val="en-US" w:eastAsia="zh-CN"/>
        </w:rPr>
        <w:t>（</w:t>
      </w:r>
      <w:r>
        <w:rPr>
          <w:rFonts w:hint="eastAsia" w:ascii="Times New Roman" w:hAnsi="Times New Roman" w:cs="Times New Roman"/>
          <w:lang w:val="en-US" w:eastAsia="zh-CN"/>
        </w:rPr>
        <w:t>五</w:t>
      </w:r>
      <w:r>
        <w:rPr>
          <w:rFonts w:hint="default" w:ascii="Times New Roman" w:hAnsi="Times New Roman" w:cs="Times New Roman"/>
          <w:lang w:val="en-US" w:eastAsia="zh-CN"/>
        </w:rPr>
        <w:t>）</w:t>
      </w:r>
      <w:r>
        <w:rPr>
          <w:rFonts w:hint="eastAsia" w:ascii="Times New Roman" w:hAnsi="Times New Roman" w:cs="Times New Roman"/>
          <w:lang w:val="en-US" w:eastAsia="zh-CN"/>
        </w:rPr>
        <w:t>加快产业转型升级</w:t>
      </w:r>
      <w:r>
        <w:tab/>
      </w:r>
      <w:r>
        <w:fldChar w:fldCharType="begin"/>
      </w:r>
      <w:r>
        <w:instrText xml:space="preserve"> PAGEREF _Toc30992 \h </w:instrText>
      </w:r>
      <w:r>
        <w:fldChar w:fldCharType="separate"/>
      </w:r>
      <w:r>
        <w:t>20</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_Toc21676 </w:instrText>
      </w:r>
      <w:r>
        <w:rPr>
          <w:rFonts w:hint="default" w:ascii="Times New Roman" w:hAnsi="Times New Roman" w:cs="Times New Roman"/>
        </w:rPr>
        <w:fldChar w:fldCharType="separate"/>
      </w:r>
      <w:r>
        <w:rPr>
          <w:rFonts w:hint="default" w:ascii="Times New Roman" w:hAnsi="Times New Roman" w:cs="Times New Roman"/>
          <w:lang w:val="en-US" w:eastAsia="zh-CN"/>
        </w:rPr>
        <w:t>（</w:t>
      </w:r>
      <w:r>
        <w:rPr>
          <w:rFonts w:hint="eastAsia" w:ascii="Times New Roman" w:hAnsi="Times New Roman" w:cs="Times New Roman"/>
          <w:lang w:val="en-US" w:eastAsia="zh-CN"/>
        </w:rPr>
        <w:t>六</w:t>
      </w:r>
      <w:r>
        <w:rPr>
          <w:rFonts w:hint="default" w:ascii="Times New Roman" w:hAnsi="Times New Roman" w:cs="Times New Roman"/>
          <w:lang w:val="en-US" w:eastAsia="zh-CN"/>
        </w:rPr>
        <w:t>）积极拓展国内外市场</w:t>
      </w:r>
      <w:r>
        <w:tab/>
      </w:r>
      <w:r>
        <w:fldChar w:fldCharType="begin"/>
      </w:r>
      <w:r>
        <w:instrText xml:space="preserve"> PAGEREF _Toc21676 \h </w:instrText>
      </w:r>
      <w:r>
        <w:fldChar w:fldCharType="separate"/>
      </w:r>
      <w:r>
        <w:t>23</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_Toc4689 </w:instrText>
      </w:r>
      <w:r>
        <w:rPr>
          <w:rFonts w:hint="default" w:ascii="Times New Roman" w:hAnsi="Times New Roman" w:cs="Times New Roman"/>
        </w:rPr>
        <w:fldChar w:fldCharType="separate"/>
      </w:r>
      <w:r>
        <w:rPr>
          <w:rFonts w:hint="default" w:ascii="Times New Roman" w:hAnsi="Times New Roman" w:cs="Times New Roman"/>
          <w:lang w:val="en-US" w:eastAsia="zh-CN"/>
        </w:rPr>
        <w:t>六、保障措施</w:t>
      </w:r>
      <w:r>
        <w:tab/>
      </w:r>
      <w:r>
        <w:fldChar w:fldCharType="begin"/>
      </w:r>
      <w:r>
        <w:instrText xml:space="preserve"> PAGEREF _Toc4689 \h </w:instrText>
      </w:r>
      <w:r>
        <w:fldChar w:fldCharType="separate"/>
      </w:r>
      <w:r>
        <w:t>23</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_Toc3747 </w:instrText>
      </w:r>
      <w:r>
        <w:rPr>
          <w:rFonts w:hint="default" w:ascii="Times New Roman" w:hAnsi="Times New Roman" w:cs="Times New Roman"/>
        </w:rPr>
        <w:fldChar w:fldCharType="separate"/>
      </w:r>
      <w:r>
        <w:rPr>
          <w:rFonts w:hint="default" w:ascii="Times New Roman" w:hAnsi="Times New Roman" w:cs="Times New Roman"/>
          <w:lang w:val="en-US" w:eastAsia="zh-CN"/>
        </w:rPr>
        <w:t>（一）优化发展环境</w:t>
      </w:r>
      <w:r>
        <w:tab/>
      </w:r>
      <w:r>
        <w:fldChar w:fldCharType="begin"/>
      </w:r>
      <w:r>
        <w:instrText xml:space="preserve"> PAGEREF _Toc3747 \h </w:instrText>
      </w:r>
      <w:r>
        <w:fldChar w:fldCharType="separate"/>
      </w:r>
      <w:r>
        <w:t>23</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_Toc17880 </w:instrText>
      </w:r>
      <w:r>
        <w:rPr>
          <w:rFonts w:hint="default" w:ascii="Times New Roman" w:hAnsi="Times New Roman" w:cs="Times New Roman"/>
        </w:rPr>
        <w:fldChar w:fldCharType="separate"/>
      </w:r>
      <w:r>
        <w:rPr>
          <w:rFonts w:hint="default" w:ascii="Times New Roman" w:hAnsi="Times New Roman" w:cs="Times New Roman"/>
          <w:lang w:val="en-US" w:eastAsia="zh-CN"/>
        </w:rPr>
        <w:t>（二）深化体制改革</w:t>
      </w:r>
      <w:r>
        <w:tab/>
      </w:r>
      <w:r>
        <w:fldChar w:fldCharType="begin"/>
      </w:r>
      <w:r>
        <w:instrText xml:space="preserve"> PAGEREF _Toc17880 \h </w:instrText>
      </w:r>
      <w:r>
        <w:fldChar w:fldCharType="separate"/>
      </w:r>
      <w:r>
        <w:t>24</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_Toc30702 </w:instrText>
      </w:r>
      <w:r>
        <w:rPr>
          <w:rFonts w:hint="default" w:ascii="Times New Roman" w:hAnsi="Times New Roman" w:cs="Times New Roman"/>
        </w:rPr>
        <w:fldChar w:fldCharType="separate"/>
      </w:r>
      <w:r>
        <w:rPr>
          <w:rFonts w:hint="default" w:ascii="Times New Roman" w:hAnsi="Times New Roman" w:cs="Times New Roman"/>
          <w:lang w:val="en-US" w:eastAsia="zh-CN"/>
        </w:rPr>
        <w:t>（三）加强原料保障</w:t>
      </w:r>
      <w:r>
        <w:tab/>
      </w:r>
      <w:r>
        <w:fldChar w:fldCharType="begin"/>
      </w:r>
      <w:r>
        <w:instrText xml:space="preserve"> PAGEREF _Toc30702 \h </w:instrText>
      </w:r>
      <w:r>
        <w:fldChar w:fldCharType="separate"/>
      </w:r>
      <w:r>
        <w:t>25</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_Toc1536 </w:instrText>
      </w:r>
      <w:r>
        <w:rPr>
          <w:rFonts w:hint="default" w:ascii="Times New Roman" w:hAnsi="Times New Roman" w:cs="Times New Roman"/>
        </w:rPr>
        <w:fldChar w:fldCharType="separate"/>
      </w:r>
      <w:r>
        <w:rPr>
          <w:rFonts w:hint="default" w:ascii="Times New Roman" w:hAnsi="Times New Roman" w:cs="Times New Roman"/>
          <w:lang w:val="en-US" w:eastAsia="zh-CN"/>
        </w:rPr>
        <w:t>（四）</w:t>
      </w:r>
      <w:r>
        <w:rPr>
          <w:rFonts w:hint="default" w:ascii="Times New Roman" w:hAnsi="Times New Roman" w:cs="Times New Roman"/>
          <w:bCs w:val="0"/>
          <w:kern w:val="2"/>
          <w:szCs w:val="24"/>
          <w:lang w:val="en-US" w:eastAsia="zh-CN" w:bidi="ar-SA"/>
        </w:rPr>
        <w:t>加强统筹协调</w:t>
      </w:r>
      <w:r>
        <w:tab/>
      </w:r>
      <w:r>
        <w:fldChar w:fldCharType="begin"/>
      </w:r>
      <w:r>
        <w:instrText xml:space="preserve"> PAGEREF _Toc1536 \h </w:instrText>
      </w:r>
      <w:r>
        <w:fldChar w:fldCharType="separate"/>
      </w:r>
      <w:r>
        <w:t>27</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_Toc11390 </w:instrText>
      </w:r>
      <w:r>
        <w:rPr>
          <w:rFonts w:hint="default" w:ascii="Times New Roman" w:hAnsi="Times New Roman" w:cs="Times New Roman"/>
        </w:rPr>
        <w:fldChar w:fldCharType="separate"/>
      </w:r>
      <w:r>
        <w:rPr>
          <w:rFonts w:hint="default" w:ascii="Times New Roman" w:hAnsi="Times New Roman" w:cs="Times New Roman"/>
          <w:lang w:val="en-US" w:eastAsia="zh-CN"/>
        </w:rPr>
        <w:t>（五）加大政策支持</w:t>
      </w:r>
      <w:r>
        <w:tab/>
      </w:r>
      <w:r>
        <w:fldChar w:fldCharType="begin"/>
      </w:r>
      <w:r>
        <w:instrText xml:space="preserve"> PAGEREF _Toc11390 \h </w:instrText>
      </w:r>
      <w:r>
        <w:fldChar w:fldCharType="separate"/>
      </w:r>
      <w:r>
        <w:t>29</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_Toc19925 </w:instrText>
      </w:r>
      <w:r>
        <w:rPr>
          <w:rFonts w:hint="default" w:ascii="Times New Roman" w:hAnsi="Times New Roman" w:cs="Times New Roman"/>
        </w:rPr>
        <w:fldChar w:fldCharType="separate"/>
      </w:r>
      <w:r>
        <w:rPr>
          <w:rFonts w:hint="default" w:ascii="Times New Roman" w:hAnsi="Times New Roman" w:cs="Times New Roman"/>
          <w:lang w:val="en-US" w:eastAsia="zh-CN"/>
        </w:rPr>
        <w:t>（六）加快人才培引</w:t>
      </w:r>
      <w:r>
        <w:tab/>
      </w:r>
      <w:r>
        <w:fldChar w:fldCharType="begin"/>
      </w:r>
      <w:r>
        <w:instrText xml:space="preserve"> PAGEREF _Toc19925 \h </w:instrText>
      </w:r>
      <w:r>
        <w:fldChar w:fldCharType="separate"/>
      </w:r>
      <w:r>
        <w:t>30</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_Toc22157 </w:instrText>
      </w:r>
      <w:r>
        <w:rPr>
          <w:rFonts w:hint="default" w:ascii="Times New Roman" w:hAnsi="Times New Roman" w:cs="Times New Roman"/>
        </w:rPr>
        <w:fldChar w:fldCharType="separate"/>
      </w:r>
      <w:r>
        <w:rPr>
          <w:rFonts w:hint="default" w:ascii="Times New Roman" w:hAnsi="Times New Roman" w:cs="Times New Roman"/>
          <w:lang w:val="en-US" w:eastAsia="zh-CN"/>
        </w:rPr>
        <w:t>附</w:t>
      </w:r>
      <w:r>
        <w:rPr>
          <w:rFonts w:hint="default" w:ascii="Times New Roman" w:hAnsi="Times New Roman" w:cs="Times New Roman"/>
          <w:lang w:eastAsia="zh-CN"/>
        </w:rPr>
        <w:t>表</w:t>
      </w:r>
      <w:r>
        <w:rPr>
          <w:rFonts w:hint="default" w:ascii="Times New Roman" w:hAnsi="Times New Roman" w:cs="Times New Roman"/>
          <w:lang w:val="en-US" w:eastAsia="zh-CN"/>
        </w:rPr>
        <w:t>1：</w:t>
      </w:r>
      <w:r>
        <w:rPr>
          <w:rFonts w:hint="eastAsia" w:cs="Times New Roman"/>
          <w:lang w:val="en-US" w:eastAsia="zh-CN"/>
        </w:rPr>
        <w:t>卷烟及配套产业</w:t>
      </w:r>
      <w:r>
        <w:rPr>
          <w:rFonts w:hint="default" w:ascii="Times New Roman" w:hAnsi="Times New Roman" w:cs="Times New Roman"/>
          <w:lang w:val="en-US" w:eastAsia="zh-CN"/>
        </w:rPr>
        <w:t>“十三五”期间产业发展情况</w:t>
      </w:r>
      <w:r>
        <w:tab/>
      </w:r>
      <w:r>
        <w:fldChar w:fldCharType="begin"/>
      </w:r>
      <w:r>
        <w:instrText xml:space="preserve"> PAGEREF _Toc22157 \h </w:instrText>
      </w:r>
      <w:r>
        <w:fldChar w:fldCharType="separate"/>
      </w:r>
      <w:r>
        <w:t>32</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_Toc13470 </w:instrText>
      </w:r>
      <w:r>
        <w:rPr>
          <w:rFonts w:hint="default" w:ascii="Times New Roman" w:hAnsi="Times New Roman" w:cs="Times New Roman"/>
        </w:rPr>
        <w:fldChar w:fldCharType="separate"/>
      </w:r>
      <w:r>
        <w:rPr>
          <w:rFonts w:hint="default" w:ascii="Times New Roman" w:hAnsi="Times New Roman" w:cs="Times New Roman"/>
          <w:lang w:val="en-US" w:eastAsia="zh-CN"/>
        </w:rPr>
        <w:t>附表2：“十四五”时期预期主要经济指标表</w:t>
      </w:r>
      <w:r>
        <w:tab/>
      </w:r>
      <w:r>
        <w:fldChar w:fldCharType="begin"/>
      </w:r>
      <w:r>
        <w:instrText xml:space="preserve"> PAGEREF _Toc13470 \h </w:instrText>
      </w:r>
      <w:r>
        <w:fldChar w:fldCharType="separate"/>
      </w:r>
      <w:r>
        <w:t>33</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_Toc13934 </w:instrText>
      </w:r>
      <w:r>
        <w:rPr>
          <w:rFonts w:hint="default" w:ascii="Times New Roman" w:hAnsi="Times New Roman" w:cs="Times New Roman"/>
        </w:rPr>
        <w:fldChar w:fldCharType="separate"/>
      </w:r>
      <w:r>
        <w:rPr>
          <w:rFonts w:hint="default" w:ascii="Times New Roman" w:hAnsi="Times New Roman" w:cs="Times New Roman"/>
          <w:lang w:val="en-US" w:eastAsia="zh-CN"/>
        </w:rPr>
        <w:t>附表3：玉溪市“十四五”卷烟及配套产业规划重点项目表</w:t>
      </w:r>
      <w:r>
        <w:tab/>
      </w:r>
      <w:r>
        <w:fldChar w:fldCharType="begin"/>
      </w:r>
      <w:r>
        <w:instrText xml:space="preserve"> PAGEREF _Toc13934 \h </w:instrText>
      </w:r>
      <w:r>
        <w:fldChar w:fldCharType="separate"/>
      </w:r>
      <w:r>
        <w:t>34</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_Toc3812 </w:instrText>
      </w:r>
      <w:r>
        <w:rPr>
          <w:rFonts w:hint="default" w:ascii="Times New Roman" w:hAnsi="Times New Roman" w:cs="Times New Roman"/>
        </w:rPr>
        <w:fldChar w:fldCharType="separate"/>
      </w:r>
      <w:r>
        <w:rPr>
          <w:rFonts w:hint="default" w:ascii="Times New Roman" w:hAnsi="Times New Roman" w:cs="Times New Roman"/>
          <w:lang w:val="en-US" w:eastAsia="zh-CN"/>
        </w:rPr>
        <w:t>附表</w:t>
      </w:r>
      <w:r>
        <w:rPr>
          <w:rFonts w:hint="eastAsia" w:cs="Times New Roman"/>
          <w:lang w:val="en-US" w:eastAsia="zh-CN"/>
        </w:rPr>
        <w:t>4</w:t>
      </w:r>
      <w:r>
        <w:rPr>
          <w:rFonts w:hint="default" w:ascii="Times New Roman" w:hAnsi="Times New Roman" w:cs="Times New Roman"/>
          <w:lang w:val="en-US" w:eastAsia="zh-CN"/>
        </w:rPr>
        <w:t>：玉溪市打造卷烟配套全产业链“1+5”平台</w:t>
      </w:r>
      <w:r>
        <w:tab/>
      </w:r>
      <w:r>
        <w:fldChar w:fldCharType="begin"/>
      </w:r>
      <w:r>
        <w:instrText xml:space="preserve"> PAGEREF _Toc3812 \h </w:instrText>
      </w:r>
      <w:r>
        <w:fldChar w:fldCharType="separate"/>
      </w:r>
      <w:r>
        <w:t>37</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0"/>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_Toc5636 </w:instrText>
      </w:r>
      <w:r>
        <w:rPr>
          <w:rFonts w:hint="default" w:ascii="Times New Roman" w:hAnsi="Times New Roman" w:cs="Times New Roman"/>
        </w:rPr>
        <w:fldChar w:fldCharType="separate"/>
      </w:r>
      <w:r>
        <w:rPr>
          <w:rFonts w:hint="default" w:ascii="Times New Roman" w:hAnsi="Times New Roman" w:cs="Times New Roman"/>
          <w:lang w:val="en-US" w:eastAsia="zh-CN"/>
        </w:rPr>
        <w:t>配套政策目录</w:t>
      </w:r>
      <w:r>
        <w:tab/>
      </w:r>
      <w:r>
        <w:fldChar w:fldCharType="begin"/>
      </w:r>
      <w:r>
        <w:instrText xml:space="preserve"> PAGEREF _Toc5636 \h </w:instrText>
      </w:r>
      <w:r>
        <w:fldChar w:fldCharType="separate"/>
      </w:r>
      <w:r>
        <w:t>39</w:t>
      </w:r>
      <w:r>
        <w:fldChar w:fldCharType="end"/>
      </w:r>
      <w:r>
        <w:rPr>
          <w:rFonts w:hint="default" w:ascii="Times New Roman" w:hAnsi="Times New Roman" w:cs="Times New Roman"/>
          <w:color w:val="000000" w:themeColor="text1"/>
          <w14:textFill>
            <w14:solidFill>
              <w14:schemeClr w14:val="tx1"/>
            </w14:solidFill>
          </w14:textFill>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fldChar w:fldCharType="end"/>
      </w:r>
    </w:p>
    <w:p>
      <w:pPr>
        <w:pStyle w:val="3"/>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sectPr>
          <w:footerReference r:id="rId7" w:type="default"/>
          <w:pgSz w:w="11906" w:h="16838"/>
          <w:pgMar w:top="1440" w:right="1800" w:bottom="1440" w:left="1800" w:header="851" w:footer="992" w:gutter="0"/>
          <w:pgNumType w:fmt="upperRoman" w:start="1"/>
          <w:cols w:space="425" w:num="1"/>
          <w:docGrid w:type="lines" w:linePitch="312" w:charSpace="0"/>
        </w:sectPr>
      </w:pPr>
    </w:p>
    <w:p>
      <w:pPr>
        <w:pStyle w:val="3"/>
        <w:pageBreakBefore w:val="0"/>
        <w:widowControl w:val="0"/>
        <w:kinsoku/>
        <w:wordWrap/>
        <w:overflowPunct/>
        <w:topLinePunct w:val="0"/>
        <w:autoSpaceDE/>
        <w:autoSpaceDN/>
        <w:bidi w:val="0"/>
        <w:adjustRightInd/>
        <w:snapToGrid/>
        <w:spacing w:beforeLines="0" w:afterLines="0" w:line="580" w:lineRule="exact"/>
        <w:jc w:val="center"/>
        <w:textAlignment w:val="auto"/>
        <w:rPr>
          <w:rFonts w:hint="default" w:ascii="Times New Roman" w:hAnsi="Times New Roman" w:cs="Times New Roman"/>
          <w:b w:val="0"/>
          <w:bCs/>
          <w:color w:val="000000" w:themeColor="text1"/>
          <w:sz w:val="36"/>
          <w:szCs w:val="36"/>
          <w:lang w:val="en-US" w:eastAsia="zh-CN"/>
          <w14:textFill>
            <w14:solidFill>
              <w14:schemeClr w14:val="tx1"/>
            </w14:solidFill>
          </w14:textFill>
        </w:rPr>
      </w:pPr>
      <w:bookmarkStart w:id="0" w:name="_Toc21068"/>
      <w:r>
        <w:rPr>
          <w:rFonts w:hint="default" w:ascii="Times New Roman" w:hAnsi="Times New Roman" w:cs="Times New Roman"/>
          <w:b w:val="0"/>
          <w:bCs/>
          <w:color w:val="000000" w:themeColor="text1"/>
          <w:sz w:val="36"/>
          <w:szCs w:val="36"/>
          <w:lang w:val="en-US" w:eastAsia="zh-CN"/>
          <w14:textFill>
            <w14:solidFill>
              <w14:schemeClr w14:val="tx1"/>
            </w14:solidFill>
          </w14:textFill>
        </w:rPr>
        <w:t>前 言</w:t>
      </w:r>
      <w:bookmarkEnd w:id="0"/>
    </w:p>
    <w:p>
      <w:pPr>
        <w:pStyle w:val="2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color w:val="000000" w:themeColor="text1"/>
          <w:kern w:val="2"/>
          <w:sz w:val="32"/>
          <w:szCs w:val="32"/>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卷烟及配套产业作为玉溪市的传统特色支柱产业，经过多年的发展，形成产业集中度高、配套产品齐全、装备技术领先，具有地方特色的支撑性产业，在</w:t>
      </w:r>
      <w:r>
        <w:rPr>
          <w:rFonts w:hint="default" w:ascii="Times New Roman" w:hAnsi="Times New Roman" w:eastAsia="仿宋_GB2312" w:cs="Times New Roman"/>
          <w:color w:val="000000" w:themeColor="text1"/>
          <w:lang w:eastAsia="zh-CN"/>
          <w14:textFill>
            <w14:solidFill>
              <w14:schemeClr w14:val="tx1"/>
            </w14:solidFill>
          </w14:textFill>
        </w:rPr>
        <w:t>全省</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全国乃至亚洲具有重要的战略地位。</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十四五”时期，面对烟草行业整合重组及日趋激烈的卷烟配套市场竞争局面，玉溪卷烟及配套产业必须找准高质量发展发力点，充分发挥比较优势，加快创新步伐，优化产品结构，提升品牌影响力，强化配套能力，争取在关键技术突破、新兴产品研发、产业发展质量方面取得新突破、新跨越，进一步发挥玉溪卷烟及配套产业对玉溪经济社会发展重要支撑作用，进一步巩固在国内外的地位和影响力。</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玉溪市卷烟及配套产业“十四五”规划》在充分分析玉溪市卷烟及配套产业发展现状和存在问题的基础上，结合产业面临形势，围绕国家“卷烟上水平”的战略要求和云南省培育千亿级烟草产业发展目标，研究提出“十四五”时期产业发展思路、发展目标、重点任务和保障措施，强化对全市卷烟及配套产业高质量发展的指导作用。</w:t>
      </w:r>
    </w:p>
    <w:p>
      <w:pPr>
        <w:pStyle w:val="21"/>
        <w:rPr>
          <w:rFonts w:hint="default" w:ascii="Times New Roman" w:hAnsi="Times New Roman" w:cs="Times New Roman"/>
          <w:color w:val="000000" w:themeColor="text1"/>
          <w:lang w:val="en-US" w:eastAsia="zh-CN"/>
          <w14:textFill>
            <w14:solidFill>
              <w14:schemeClr w14:val="tx1"/>
            </w14:solidFill>
          </w14:textFill>
        </w:rPr>
      </w:pPr>
    </w:p>
    <w:p>
      <w:pPr>
        <w:pStyle w:val="3"/>
        <w:numPr>
          <w:ilvl w:val="0"/>
          <w:numId w:val="0"/>
        </w:numPr>
        <w:bidi w:val="0"/>
        <w:rPr>
          <w:rFonts w:hint="default" w:ascii="Times New Roman" w:hAnsi="Times New Roman" w:cs="Times New Roman"/>
          <w:color w:val="000000" w:themeColor="text1"/>
          <w:lang w:val="en-US" w:eastAsia="zh-CN"/>
          <w14:textFill>
            <w14:solidFill>
              <w14:schemeClr w14:val="tx1"/>
            </w14:solidFill>
          </w14:textFill>
        </w:rPr>
        <w:sectPr>
          <w:footerReference r:id="rId8" w:type="default"/>
          <w:pgSz w:w="11906" w:h="16838"/>
          <w:pgMar w:top="1440" w:right="1800" w:bottom="1440" w:left="1800" w:header="851" w:footer="992" w:gutter="0"/>
          <w:pgNumType w:fmt="decimal" w:start="1"/>
          <w:cols w:space="425" w:num="1"/>
          <w:docGrid w:type="lines" w:linePitch="312" w:charSpace="0"/>
        </w:sectPr>
      </w:pPr>
    </w:p>
    <w:p>
      <w:pPr>
        <w:pStyle w:val="3"/>
        <w:pageBreakBefore w:val="0"/>
        <w:widowControl w:val="0"/>
        <w:numPr>
          <w:ilvl w:val="0"/>
          <w:numId w:val="0"/>
        </w:numPr>
        <w:kinsoku/>
        <w:wordWrap/>
        <w:overflowPunct/>
        <w:topLinePunct w:val="0"/>
        <w:autoSpaceDE/>
        <w:autoSpaceDN/>
        <w:bidi w:val="0"/>
        <w:adjustRightInd/>
        <w:snapToGrid/>
        <w:spacing w:beforeLines="0" w:afterLines="0" w:line="580" w:lineRule="exact"/>
        <w:textAlignment w:val="auto"/>
        <w:rPr>
          <w:rFonts w:hint="default" w:ascii="Times New Roman" w:hAnsi="Times New Roman" w:cs="Times New Roman"/>
          <w:color w:val="auto"/>
          <w:lang w:val="en-US" w:eastAsia="zh-CN"/>
        </w:rPr>
      </w:pPr>
      <w:bookmarkStart w:id="1" w:name="_Toc23982"/>
      <w:bookmarkStart w:id="2" w:name="_Toc5758"/>
      <w:bookmarkStart w:id="3" w:name="_Toc24553"/>
      <w:r>
        <w:rPr>
          <w:rFonts w:hint="default" w:ascii="Times New Roman" w:hAnsi="Times New Roman" w:cs="Times New Roman"/>
          <w:color w:val="auto"/>
          <w:lang w:val="en-US" w:eastAsia="zh-CN"/>
        </w:rPr>
        <w:t>一、“十三五”回顾</w:t>
      </w:r>
      <w:bookmarkEnd w:id="1"/>
    </w:p>
    <w:p>
      <w:pPr>
        <w:pStyle w:val="2"/>
        <w:pageBreakBefore w:val="0"/>
        <w:widowControl w:val="0"/>
        <w:kinsoku/>
        <w:wordWrap/>
        <w:overflowPunct/>
        <w:topLinePunct w:val="0"/>
        <w:autoSpaceDE/>
        <w:autoSpaceDN/>
        <w:bidi w:val="0"/>
        <w:adjustRightInd/>
        <w:snapToGrid/>
        <w:spacing w:beforeLines="0" w:afterLines="0" w:line="580" w:lineRule="exact"/>
        <w:textAlignment w:val="auto"/>
        <w:rPr>
          <w:rFonts w:hint="default" w:ascii="Times New Roman" w:hAnsi="Times New Roman" w:cs="Times New Roman"/>
          <w:color w:val="auto"/>
          <w:lang w:val="en-US" w:eastAsia="zh-CN"/>
        </w:rPr>
      </w:pPr>
      <w:bookmarkStart w:id="4" w:name="_Toc14453"/>
      <w:r>
        <w:rPr>
          <w:rFonts w:hint="default" w:ascii="Times New Roman" w:hAnsi="Times New Roman" w:cs="Times New Roman"/>
          <w:color w:val="auto"/>
          <w:lang w:val="en-US" w:eastAsia="zh-CN"/>
        </w:rPr>
        <w:t>（一）</w:t>
      </w:r>
      <w:bookmarkEnd w:id="2"/>
      <w:r>
        <w:rPr>
          <w:rFonts w:hint="eastAsia" w:ascii="Times New Roman" w:hAnsi="Times New Roman"/>
          <w:color w:val="auto"/>
          <w:szCs w:val="22"/>
        </w:rPr>
        <w:t>“十三五”</w:t>
      </w:r>
      <w:r>
        <w:rPr>
          <w:rFonts w:hint="eastAsia"/>
          <w:color w:val="auto"/>
          <w:szCs w:val="22"/>
          <w:lang w:eastAsia="zh-CN"/>
        </w:rPr>
        <w:t>期间产业发展情况</w:t>
      </w:r>
      <w:bookmarkEnd w:id="4"/>
    </w:p>
    <w:p>
      <w:pPr>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bCs w:val="0"/>
          <w:color w:val="auto"/>
          <w:sz w:val="32"/>
          <w:szCs w:val="32"/>
          <w:lang w:val="en-US" w:eastAsia="zh-CN"/>
        </w:rPr>
      </w:pPr>
      <w:r>
        <w:rPr>
          <w:rFonts w:hint="default" w:ascii="Times New Roman" w:hAnsi="Times New Roman" w:eastAsia="仿宋_GB2312" w:cs="Times New Roman"/>
          <w:b/>
          <w:bCs w:val="0"/>
          <w:color w:val="auto"/>
          <w:sz w:val="32"/>
          <w:szCs w:val="32"/>
          <w:lang w:val="en-US" w:eastAsia="zh-CN"/>
        </w:rPr>
        <w:t>1.产值完成情况</w:t>
      </w:r>
    </w:p>
    <w:p>
      <w:pPr>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Cs/>
          <w:color w:val="auto"/>
          <w:sz w:val="32"/>
          <w:szCs w:val="32"/>
          <w:lang w:val="en-US" w:eastAsia="zh-CN"/>
        </w:rPr>
      </w:pPr>
      <w:r>
        <w:rPr>
          <w:rFonts w:hint="default" w:ascii="Times New Roman" w:hAnsi="Times New Roman" w:eastAsia="仿宋_GB2312" w:cs="Times New Roman"/>
          <w:color w:val="auto"/>
          <w:lang w:val="en-US" w:eastAsia="zh-CN"/>
        </w:rPr>
        <w:t>“十三五”期间，</w:t>
      </w:r>
      <w:r>
        <w:rPr>
          <w:rFonts w:hint="default" w:ascii="Times New Roman" w:hAnsi="Times New Roman" w:eastAsia="仿宋_GB2312" w:cs="Times New Roman"/>
          <w:bCs/>
          <w:color w:val="auto"/>
          <w:sz w:val="32"/>
          <w:szCs w:val="32"/>
          <w:lang w:val="en-US" w:eastAsia="zh-CN"/>
        </w:rPr>
        <w:t>卷烟及配套产业</w:t>
      </w:r>
      <w:r>
        <w:rPr>
          <w:rFonts w:hint="eastAsia" w:cs="Times New Roman"/>
          <w:bCs/>
          <w:color w:val="auto"/>
          <w:sz w:val="32"/>
          <w:szCs w:val="32"/>
          <w:lang w:val="en-US" w:eastAsia="zh-CN"/>
        </w:rPr>
        <w:t>规上工业</w:t>
      </w:r>
      <w:r>
        <w:rPr>
          <w:rFonts w:hint="default" w:ascii="Times New Roman" w:hAnsi="Times New Roman" w:eastAsia="仿宋_GB2312" w:cs="Times New Roman"/>
          <w:bCs/>
          <w:color w:val="auto"/>
          <w:sz w:val="32"/>
          <w:szCs w:val="32"/>
          <w:lang w:val="en-US" w:eastAsia="zh-CN"/>
        </w:rPr>
        <w:t>产值分别为</w:t>
      </w:r>
      <w:r>
        <w:rPr>
          <w:rFonts w:hint="eastAsia" w:cs="Times New Roman"/>
          <w:bCs/>
          <w:color w:val="auto"/>
          <w:sz w:val="32"/>
          <w:szCs w:val="32"/>
          <w:lang w:val="en-US" w:eastAsia="zh-CN"/>
        </w:rPr>
        <w:t>523.2</w:t>
      </w:r>
      <w:r>
        <w:rPr>
          <w:rFonts w:hint="default" w:ascii="Times New Roman" w:hAnsi="Times New Roman" w:eastAsia="仿宋_GB2312" w:cs="Times New Roman"/>
          <w:bCs/>
          <w:color w:val="auto"/>
          <w:sz w:val="32"/>
          <w:szCs w:val="32"/>
          <w:lang w:val="en-US" w:eastAsia="zh-CN"/>
        </w:rPr>
        <w:t>亿元、</w:t>
      </w:r>
      <w:r>
        <w:rPr>
          <w:rFonts w:hint="eastAsia" w:cs="Times New Roman"/>
          <w:bCs/>
          <w:color w:val="auto"/>
          <w:sz w:val="32"/>
          <w:szCs w:val="32"/>
          <w:lang w:val="en-US" w:eastAsia="zh-CN"/>
        </w:rPr>
        <w:t>527.1</w:t>
      </w:r>
      <w:r>
        <w:rPr>
          <w:rFonts w:hint="default" w:ascii="Times New Roman" w:hAnsi="Times New Roman" w:eastAsia="仿宋_GB2312" w:cs="Times New Roman"/>
          <w:bCs/>
          <w:color w:val="auto"/>
          <w:sz w:val="32"/>
          <w:szCs w:val="32"/>
          <w:lang w:val="en-US" w:eastAsia="zh-CN"/>
        </w:rPr>
        <w:t>亿元、538.4亿元、548.1亿元</w:t>
      </w:r>
      <w:r>
        <w:rPr>
          <w:rFonts w:hint="eastAsia" w:cs="Times New Roman"/>
          <w:bCs/>
          <w:color w:val="auto"/>
          <w:sz w:val="32"/>
          <w:szCs w:val="32"/>
          <w:lang w:val="en-US" w:eastAsia="zh-CN"/>
        </w:rPr>
        <w:t>、544.0亿元</w:t>
      </w:r>
      <w:r>
        <w:rPr>
          <w:rFonts w:hint="default" w:ascii="Times New Roman" w:hAnsi="Times New Roman" w:eastAsia="仿宋_GB2312" w:cs="Times New Roman"/>
          <w:bCs/>
          <w:color w:val="auto"/>
          <w:sz w:val="32"/>
          <w:szCs w:val="32"/>
          <w:lang w:val="en-US" w:eastAsia="zh-CN"/>
        </w:rPr>
        <w:t>，年均增速</w:t>
      </w:r>
      <w:r>
        <w:rPr>
          <w:rFonts w:hint="eastAsia" w:cs="Times New Roman"/>
          <w:bCs/>
          <w:color w:val="auto"/>
          <w:sz w:val="32"/>
          <w:szCs w:val="32"/>
          <w:lang w:val="en-US" w:eastAsia="zh-CN"/>
        </w:rPr>
        <w:t>0.8</w:t>
      </w:r>
      <w:r>
        <w:rPr>
          <w:rFonts w:hint="default" w:ascii="Times New Roman" w:hAnsi="Times New Roman" w:eastAsia="仿宋_GB2312" w:cs="Times New Roman"/>
          <w:bCs/>
          <w:color w:val="auto"/>
          <w:sz w:val="32"/>
          <w:szCs w:val="32"/>
          <w:lang w:val="en-US" w:eastAsia="zh-CN"/>
        </w:rPr>
        <w:t>%。详见附表1。</w:t>
      </w:r>
    </w:p>
    <w:p>
      <w:pPr>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bCs w:val="0"/>
          <w:color w:val="auto"/>
          <w:sz w:val="32"/>
          <w:szCs w:val="32"/>
          <w:lang w:val="en-US" w:eastAsia="zh-CN"/>
        </w:rPr>
      </w:pPr>
      <w:r>
        <w:rPr>
          <w:rFonts w:hint="default" w:ascii="Times New Roman" w:hAnsi="Times New Roman" w:eastAsia="仿宋_GB2312" w:cs="Times New Roman"/>
          <w:b/>
          <w:bCs w:val="0"/>
          <w:color w:val="auto"/>
          <w:sz w:val="32"/>
          <w:szCs w:val="32"/>
          <w:lang w:val="en-US" w:eastAsia="zh-CN"/>
        </w:rPr>
        <w:t>2.增加值完成情况</w:t>
      </w:r>
    </w:p>
    <w:p>
      <w:pPr>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Cs/>
          <w:color w:val="auto"/>
          <w:sz w:val="32"/>
          <w:szCs w:val="32"/>
          <w:lang w:val="en-US" w:eastAsia="zh-CN"/>
        </w:rPr>
      </w:pPr>
      <w:r>
        <w:rPr>
          <w:rFonts w:hint="default" w:ascii="Times New Roman" w:hAnsi="Times New Roman" w:eastAsia="仿宋_GB2312" w:cs="Times New Roman"/>
          <w:color w:val="auto"/>
          <w:lang w:val="en-US" w:eastAsia="zh-CN"/>
        </w:rPr>
        <w:t>“十三五”期间，卷烟及配套产业</w:t>
      </w:r>
      <w:r>
        <w:rPr>
          <w:rFonts w:hint="eastAsia" w:cs="Times New Roman"/>
          <w:color w:val="auto"/>
          <w:lang w:val="en-US" w:eastAsia="zh-CN"/>
        </w:rPr>
        <w:t>规上工业</w:t>
      </w:r>
      <w:r>
        <w:rPr>
          <w:rFonts w:hint="default" w:ascii="Times New Roman" w:hAnsi="Times New Roman" w:eastAsia="仿宋_GB2312" w:cs="Times New Roman"/>
          <w:bCs/>
          <w:color w:val="auto"/>
          <w:sz w:val="32"/>
          <w:szCs w:val="32"/>
          <w:lang w:val="en-US" w:eastAsia="zh-CN"/>
        </w:rPr>
        <w:t>增加值分别为</w:t>
      </w:r>
      <w:r>
        <w:rPr>
          <w:rFonts w:hint="eastAsia" w:cs="Times New Roman"/>
          <w:bCs/>
          <w:color w:val="auto"/>
          <w:sz w:val="32"/>
          <w:szCs w:val="32"/>
          <w:lang w:val="en-US" w:eastAsia="zh-CN"/>
        </w:rPr>
        <w:t>401.2</w:t>
      </w:r>
      <w:r>
        <w:rPr>
          <w:rFonts w:hint="default" w:ascii="Times New Roman" w:hAnsi="Times New Roman" w:eastAsia="仿宋_GB2312" w:cs="Times New Roman"/>
          <w:bCs/>
          <w:color w:val="auto"/>
          <w:sz w:val="32"/>
          <w:szCs w:val="32"/>
          <w:lang w:val="en-US" w:eastAsia="zh-CN"/>
        </w:rPr>
        <w:t>亿元、403.</w:t>
      </w:r>
      <w:r>
        <w:rPr>
          <w:rFonts w:hint="eastAsia" w:cs="Times New Roman"/>
          <w:bCs/>
          <w:color w:val="auto"/>
          <w:sz w:val="32"/>
          <w:szCs w:val="32"/>
          <w:lang w:val="en-US" w:eastAsia="zh-CN"/>
        </w:rPr>
        <w:t>9</w:t>
      </w:r>
      <w:r>
        <w:rPr>
          <w:rFonts w:hint="default" w:ascii="Times New Roman" w:hAnsi="Times New Roman" w:eastAsia="仿宋_GB2312" w:cs="Times New Roman"/>
          <w:bCs/>
          <w:color w:val="auto"/>
          <w:sz w:val="32"/>
          <w:szCs w:val="32"/>
          <w:lang w:val="en-US" w:eastAsia="zh-CN"/>
        </w:rPr>
        <w:t>亿元、</w:t>
      </w:r>
      <w:r>
        <w:rPr>
          <w:rFonts w:hint="eastAsia" w:cs="Times New Roman"/>
          <w:bCs/>
          <w:color w:val="auto"/>
          <w:sz w:val="32"/>
          <w:szCs w:val="32"/>
          <w:lang w:val="en-US" w:eastAsia="zh-CN"/>
        </w:rPr>
        <w:t>396.9</w:t>
      </w:r>
      <w:r>
        <w:rPr>
          <w:rFonts w:hint="default" w:ascii="Times New Roman" w:hAnsi="Times New Roman" w:eastAsia="仿宋_GB2312" w:cs="Times New Roman"/>
          <w:bCs/>
          <w:color w:val="auto"/>
          <w:sz w:val="32"/>
          <w:szCs w:val="32"/>
          <w:lang w:val="en-US" w:eastAsia="zh-CN"/>
        </w:rPr>
        <w:t>亿元、</w:t>
      </w:r>
      <w:r>
        <w:rPr>
          <w:rFonts w:hint="eastAsia" w:cs="Times New Roman"/>
          <w:bCs/>
          <w:color w:val="auto"/>
          <w:sz w:val="32"/>
          <w:szCs w:val="32"/>
          <w:lang w:val="en-US" w:eastAsia="zh-CN"/>
        </w:rPr>
        <w:t>405.8</w:t>
      </w:r>
      <w:r>
        <w:rPr>
          <w:rFonts w:hint="default" w:ascii="Times New Roman" w:hAnsi="Times New Roman" w:eastAsia="仿宋_GB2312" w:cs="Times New Roman"/>
          <w:bCs/>
          <w:color w:val="auto"/>
          <w:sz w:val="32"/>
          <w:szCs w:val="32"/>
          <w:lang w:val="en-US" w:eastAsia="zh-CN"/>
        </w:rPr>
        <w:t>亿元</w:t>
      </w:r>
      <w:r>
        <w:rPr>
          <w:rFonts w:hint="eastAsia" w:cs="Times New Roman"/>
          <w:bCs/>
          <w:color w:val="auto"/>
          <w:sz w:val="32"/>
          <w:szCs w:val="32"/>
          <w:lang w:val="en-US" w:eastAsia="zh-CN"/>
        </w:rPr>
        <w:t>、406.7亿元</w:t>
      </w:r>
      <w:r>
        <w:rPr>
          <w:rFonts w:hint="default" w:ascii="Times New Roman" w:hAnsi="Times New Roman" w:eastAsia="仿宋_GB2312" w:cs="Times New Roman"/>
          <w:bCs/>
          <w:color w:val="auto"/>
          <w:sz w:val="32"/>
          <w:szCs w:val="32"/>
          <w:lang w:val="en-US" w:eastAsia="zh-CN"/>
        </w:rPr>
        <w:t>，年均</w:t>
      </w:r>
      <w:r>
        <w:rPr>
          <w:rFonts w:hint="eastAsia" w:cs="Times New Roman"/>
          <w:bCs/>
          <w:color w:val="auto"/>
          <w:sz w:val="32"/>
          <w:szCs w:val="32"/>
          <w:lang w:val="en-US" w:eastAsia="zh-CN"/>
        </w:rPr>
        <w:t>增长0.3</w:t>
      </w:r>
      <w:r>
        <w:rPr>
          <w:rFonts w:hint="default" w:ascii="Times New Roman" w:hAnsi="Times New Roman" w:eastAsia="仿宋_GB2312" w:cs="Times New Roman"/>
          <w:bCs/>
          <w:color w:val="auto"/>
          <w:sz w:val="32"/>
          <w:szCs w:val="32"/>
          <w:lang w:val="en-US" w:eastAsia="zh-CN"/>
        </w:rPr>
        <w:t>%。详见附表1。</w:t>
      </w:r>
    </w:p>
    <w:bookmarkEnd w:id="3"/>
    <w:p>
      <w:pPr>
        <w:pStyle w:val="2"/>
        <w:bidi w:val="0"/>
        <w:rPr>
          <w:rFonts w:hint="default" w:ascii="Times New Roman" w:hAnsi="Times New Roman" w:cs="Times New Roman"/>
          <w:color w:val="auto"/>
          <w:lang w:val="en-US" w:eastAsia="zh-CN"/>
        </w:rPr>
      </w:pPr>
      <w:bookmarkStart w:id="5" w:name="_Toc6862"/>
      <w:r>
        <w:rPr>
          <w:rFonts w:hint="default" w:ascii="Times New Roman" w:hAnsi="Times New Roman" w:cs="Times New Roman"/>
          <w:color w:val="auto"/>
          <w:lang w:val="en-US" w:eastAsia="zh-CN"/>
        </w:rPr>
        <w:t>（二）取得成效</w:t>
      </w:r>
      <w:bookmarkEnd w:id="5"/>
    </w:p>
    <w:p>
      <w:pPr>
        <w:pageBreakBefore w:val="0"/>
        <w:widowControl w:val="0"/>
        <w:kinsoku/>
        <w:wordWrap/>
        <w:overflowPunct/>
        <w:topLinePunct w:val="0"/>
        <w:autoSpaceDE/>
        <w:autoSpaceDN/>
        <w:bidi w:val="0"/>
        <w:adjustRightInd/>
        <w:snapToGrid/>
        <w:spacing w:line="580" w:lineRule="exact"/>
        <w:textAlignment w:val="auto"/>
        <w:rPr>
          <w:rFonts w:hint="eastAsia" w:ascii="Times New Roman" w:hAnsi="Times New Roman" w:eastAsia="仿宋_GB2312" w:cs="Times New Roman"/>
          <w:bCs/>
          <w:color w:val="auto"/>
          <w:sz w:val="32"/>
          <w:szCs w:val="32"/>
          <w:lang w:val="en-US" w:eastAsia="zh-CN"/>
        </w:rPr>
      </w:pPr>
      <w:r>
        <w:rPr>
          <w:rFonts w:hint="eastAsia" w:ascii="Times New Roman" w:hAnsi="Times New Roman" w:eastAsia="仿宋_GB2312" w:cs="Times New Roman"/>
          <w:bCs/>
          <w:color w:val="auto"/>
          <w:sz w:val="32"/>
          <w:szCs w:val="32"/>
          <w:lang w:val="en-US" w:eastAsia="zh-CN"/>
        </w:rPr>
        <w:t>2020</w:t>
      </w:r>
      <w:r>
        <w:rPr>
          <w:rFonts w:hint="default" w:ascii="Times New Roman" w:hAnsi="Times New Roman" w:eastAsia="仿宋_GB2312" w:cs="Times New Roman"/>
          <w:bCs/>
          <w:color w:val="auto"/>
          <w:sz w:val="32"/>
          <w:szCs w:val="32"/>
          <w:lang w:val="en-US" w:eastAsia="zh-CN"/>
        </w:rPr>
        <w:t>年，卷烟及配套产业规上企业实现工业总产值</w:t>
      </w:r>
      <w:r>
        <w:rPr>
          <w:rFonts w:hint="eastAsia" w:ascii="Times New Roman" w:hAnsi="Times New Roman" w:cs="Times New Roman"/>
          <w:bCs/>
          <w:color w:val="auto"/>
          <w:sz w:val="32"/>
          <w:szCs w:val="32"/>
          <w:lang w:val="en-US" w:eastAsia="zh-CN"/>
        </w:rPr>
        <w:t>544.0</w:t>
      </w:r>
      <w:r>
        <w:rPr>
          <w:rFonts w:hint="default" w:ascii="Times New Roman" w:hAnsi="Times New Roman" w:eastAsia="仿宋_GB2312" w:cs="Times New Roman"/>
          <w:bCs/>
          <w:color w:val="auto"/>
          <w:sz w:val="32"/>
          <w:szCs w:val="32"/>
          <w:lang w:val="en-US" w:eastAsia="zh-CN"/>
        </w:rPr>
        <w:t>亿元，占全市规模以上工业总产值的</w:t>
      </w:r>
      <w:r>
        <w:rPr>
          <w:rFonts w:hint="eastAsia" w:ascii="Times New Roman" w:hAnsi="Times New Roman" w:cs="Times New Roman"/>
          <w:bCs/>
          <w:color w:val="auto"/>
          <w:sz w:val="32"/>
          <w:szCs w:val="32"/>
          <w:lang w:val="en-US" w:eastAsia="zh-CN"/>
        </w:rPr>
        <w:t>29.5</w:t>
      </w:r>
      <w:r>
        <w:rPr>
          <w:rFonts w:hint="default" w:ascii="Times New Roman" w:hAnsi="Times New Roman" w:eastAsia="仿宋_GB2312" w:cs="Times New Roman"/>
          <w:bCs/>
          <w:color w:val="auto"/>
          <w:sz w:val="32"/>
          <w:szCs w:val="32"/>
          <w:lang w:val="en-US" w:eastAsia="zh-CN"/>
        </w:rPr>
        <w:t>%；实现工业增加值</w:t>
      </w:r>
      <w:r>
        <w:rPr>
          <w:rFonts w:hint="eastAsia" w:ascii="Times New Roman" w:hAnsi="Times New Roman" w:cs="Times New Roman"/>
          <w:bCs/>
          <w:color w:val="auto"/>
          <w:sz w:val="32"/>
          <w:szCs w:val="32"/>
          <w:lang w:val="en-US" w:eastAsia="zh-CN"/>
        </w:rPr>
        <w:t>406.7</w:t>
      </w:r>
      <w:r>
        <w:rPr>
          <w:rFonts w:hint="default" w:ascii="Times New Roman" w:hAnsi="Times New Roman" w:eastAsia="仿宋_GB2312" w:cs="Times New Roman"/>
          <w:bCs/>
          <w:color w:val="auto"/>
          <w:sz w:val="32"/>
          <w:szCs w:val="32"/>
          <w:lang w:val="en-US" w:eastAsia="zh-CN"/>
        </w:rPr>
        <w:t>亿元，</w:t>
      </w:r>
      <w:r>
        <w:rPr>
          <w:rFonts w:hint="eastAsia" w:ascii="Times New Roman" w:hAnsi="Times New Roman" w:cs="Times New Roman"/>
          <w:bCs/>
          <w:color w:val="auto"/>
          <w:sz w:val="32"/>
          <w:szCs w:val="32"/>
          <w:lang w:val="en-US" w:eastAsia="zh-CN"/>
        </w:rPr>
        <w:t>2016年-2020年期间，卷烟及配套产业增加值</w:t>
      </w:r>
      <w:r>
        <w:rPr>
          <w:rFonts w:hint="default" w:ascii="Times New Roman" w:hAnsi="Times New Roman" w:eastAsia="仿宋_GB2312" w:cs="Times New Roman"/>
          <w:bCs/>
          <w:color w:val="auto"/>
          <w:sz w:val="32"/>
          <w:szCs w:val="32"/>
          <w:lang w:val="en-US" w:eastAsia="zh-CN"/>
        </w:rPr>
        <w:t>占全市规模以上工业增加值</w:t>
      </w:r>
      <w:r>
        <w:rPr>
          <w:rFonts w:hint="eastAsia" w:ascii="Times New Roman" w:hAnsi="Times New Roman" w:cs="Times New Roman"/>
          <w:bCs/>
          <w:color w:val="auto"/>
          <w:sz w:val="32"/>
          <w:szCs w:val="32"/>
          <w:lang w:val="en-US" w:eastAsia="zh-CN"/>
        </w:rPr>
        <w:t>的比重分别为：67.2%、64.8%、62.8%、60.0%、57.9%。</w:t>
      </w:r>
    </w:p>
    <w:p>
      <w:pPr>
        <w:pStyle w:val="7"/>
        <w:rPr>
          <w:rFonts w:hint="default" w:ascii="Times New Roman" w:hAnsi="Times New Roman" w:eastAsia="仿宋_GB2312" w:cs="Times New Roman"/>
          <w:b/>
          <w:bCs/>
          <w:color w:val="auto"/>
          <w:lang w:val="en-US" w:eastAsia="zh-CN"/>
        </w:rPr>
      </w:pPr>
      <w:r>
        <w:rPr>
          <w:rFonts w:hint="default" w:ascii="Times New Roman" w:hAnsi="Times New Roman" w:eastAsia="仿宋_GB2312" w:cs="Times New Roman"/>
          <w:b/>
          <w:bCs/>
          <w:color w:val="auto"/>
          <w:lang w:val="en-US" w:eastAsia="zh-CN"/>
        </w:rPr>
        <w:t>1.卷烟业</w:t>
      </w:r>
    </w:p>
    <w:p>
      <w:pPr>
        <w:rPr>
          <w:rFonts w:hint="default" w:ascii="Times New Roman" w:hAnsi="Times New Roman" w:eastAsia="仿宋_GB2312" w:cs="Times New Roman"/>
          <w:b/>
          <w:bCs/>
          <w:color w:val="auto"/>
          <w:lang w:val="en-US" w:eastAsia="zh-CN"/>
        </w:rPr>
      </w:pPr>
      <w:r>
        <w:rPr>
          <w:rFonts w:hint="default" w:ascii="Times New Roman" w:hAnsi="Times New Roman" w:eastAsia="仿宋_GB2312" w:cs="Times New Roman"/>
          <w:b/>
          <w:bCs/>
          <w:color w:val="auto"/>
          <w:lang w:val="en-US" w:eastAsia="zh-CN"/>
        </w:rPr>
        <w:t>（1）卷烟产业支柱地位依然稳固</w:t>
      </w:r>
    </w:p>
    <w:p>
      <w:pPr>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color w:val="auto"/>
          <w:kern w:val="0"/>
          <w:sz w:val="28"/>
          <w:szCs w:val="28"/>
          <w:lang w:val="en-US" w:eastAsia="zh-CN"/>
        </w:rPr>
      </w:pPr>
      <w:r>
        <w:rPr>
          <w:rFonts w:hint="default" w:ascii="Times New Roman" w:hAnsi="Times New Roman" w:eastAsia="仿宋_GB2312" w:cs="Times New Roman"/>
          <w:color w:val="auto"/>
          <w:lang w:val="en-US" w:eastAsia="zh-CN"/>
        </w:rPr>
        <w:t>“十三五”期间，卷烟产业实现平稳发展</w:t>
      </w:r>
      <w:r>
        <w:rPr>
          <w:rFonts w:hint="eastAsia" w:cs="Times New Roman"/>
          <w:color w:val="auto"/>
          <w:lang w:val="en-US" w:eastAsia="zh-CN"/>
        </w:rPr>
        <w:t>。</w:t>
      </w:r>
      <w:r>
        <w:rPr>
          <w:rFonts w:hint="default" w:ascii="Times New Roman" w:hAnsi="Times New Roman" w:eastAsia="仿宋_GB2312" w:cs="Times New Roman"/>
          <w:bCs/>
          <w:color w:val="auto"/>
          <w:sz w:val="32"/>
          <w:szCs w:val="32"/>
          <w:lang w:val="en-US" w:eastAsia="zh-CN"/>
        </w:rPr>
        <w:t>2020年，卷烟产业实现规模以上工业总产值513.5亿元，同比增长0.8%。比2016年增加31.3亿元，年均增长1.3%；实现工业增加值398.4亿元，比2016年增加10.9亿元。产业增加值占全市工业增加值的比重达56.7%，占GDP的比重达19.36%。</w:t>
      </w:r>
    </w:p>
    <w:p>
      <w:pPr>
        <w:rPr>
          <w:rFonts w:hint="default" w:ascii="Times New Roman" w:hAnsi="Times New Roman" w:eastAsia="仿宋_GB2312" w:cs="Times New Roman"/>
          <w:b/>
          <w:bCs/>
          <w:color w:val="auto"/>
          <w:lang w:val="en-US" w:eastAsia="zh-CN"/>
        </w:rPr>
      </w:pPr>
      <w:r>
        <w:rPr>
          <w:rFonts w:hint="default" w:ascii="Times New Roman" w:hAnsi="Times New Roman" w:eastAsia="仿宋_GB2312" w:cs="Times New Roman"/>
          <w:b/>
          <w:bCs/>
          <w:color w:val="auto"/>
          <w:lang w:val="en-US" w:eastAsia="zh-CN"/>
        </w:rPr>
        <w:t>（2）产业发展基础进一步夯实</w:t>
      </w:r>
    </w:p>
    <w:p>
      <w:pPr>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云南烟草在全国烟草行业处于主力军和领头羊地位，长期保持国内市场规模、国际市场规模、税利总额、一类烟规模、优质烟叶规模五个第一。红塔集团作为云南烟草的重要支撑点，“十三五”期间，围绕“做好传统烟草新突围、‘中短细爆’新布局、新型烟草新破局、基因工程新引领和质量管理新进位”，积极推进卷烟产品结构调整和销售。2020年，“玉溪”品牌实现商业销量141.31万箱，排名全国一类烟第4位，品牌税利贡献348.26亿元，占云南中烟税利总额比重29.03%；“红塔山”品牌实现商业销量256.18万箱，排名全国卷烟品牌销量第4位，品牌税利贡献160.60亿元，占云南中烟税利总额比重13.41%。</w:t>
      </w:r>
    </w:p>
    <w:p>
      <w:pPr>
        <w:rPr>
          <w:rFonts w:hint="default" w:ascii="Times New Roman" w:hAnsi="Times New Roman" w:eastAsia="仿宋_GB2312" w:cs="Times New Roman"/>
          <w:b/>
          <w:bCs/>
          <w:color w:val="auto"/>
          <w:lang w:val="en-US" w:eastAsia="zh-CN"/>
        </w:rPr>
      </w:pPr>
      <w:r>
        <w:rPr>
          <w:rFonts w:hint="default" w:ascii="Times New Roman" w:hAnsi="Times New Roman" w:eastAsia="仿宋_GB2312" w:cs="Times New Roman"/>
          <w:b/>
          <w:bCs/>
          <w:color w:val="auto"/>
          <w:lang w:val="en-US" w:eastAsia="zh-CN"/>
        </w:rPr>
        <w:t>（3）新型</w:t>
      </w:r>
      <w:r>
        <w:rPr>
          <w:rFonts w:hint="eastAsia" w:cs="Times New Roman"/>
          <w:b/>
          <w:bCs/>
          <w:color w:val="auto"/>
          <w:lang w:val="en-US" w:eastAsia="zh-CN"/>
        </w:rPr>
        <w:t>烟草</w:t>
      </w:r>
      <w:r>
        <w:rPr>
          <w:rFonts w:hint="default" w:ascii="Times New Roman" w:hAnsi="Times New Roman" w:eastAsia="仿宋_GB2312" w:cs="Times New Roman"/>
          <w:b/>
          <w:bCs/>
          <w:color w:val="auto"/>
          <w:lang w:val="en-US" w:eastAsia="zh-CN"/>
        </w:rPr>
        <w:t>取得新进展</w:t>
      </w:r>
    </w:p>
    <w:p>
      <w:pPr>
        <w:rPr>
          <w:rFonts w:hint="default" w:ascii="Times New Roman" w:hAnsi="Times New Roman" w:eastAsia="仿宋_GB2312" w:cs="Times New Roman"/>
          <w:color w:val="000000" w:themeColor="text1"/>
          <w:lang w:val="en-US" w:eastAsia="zh-CN"/>
          <w14:textFill>
            <w14:solidFill>
              <w14:schemeClr w14:val="tx1"/>
            </w14:solidFill>
          </w14:textFill>
        </w:rPr>
      </w:pPr>
      <w:r>
        <w:rPr>
          <w:rFonts w:hint="default" w:ascii="Times New Roman" w:hAnsi="Times New Roman" w:eastAsia="仿宋_GB2312" w:cs="Times New Roman"/>
          <w:color w:val="auto"/>
          <w:lang w:val="en-US" w:eastAsia="zh-CN"/>
        </w:rPr>
        <w:t>红塔集团承担的云南中烟加热不燃烧卷烟科技项目被推荐为</w:t>
      </w:r>
      <w:r>
        <w:rPr>
          <w:rFonts w:hint="default" w:ascii="Times New Roman" w:hAnsi="Times New Roman" w:eastAsia="仿宋_GB2312" w:cs="Times New Roman"/>
          <w:color w:val="000000" w:themeColor="text1"/>
          <w:lang w:val="en-US" w:eastAsia="zh-CN"/>
          <w14:textFill>
            <w14:solidFill>
              <w14:schemeClr w14:val="tx1"/>
            </w14:solidFill>
          </w14:textFill>
        </w:rPr>
        <w:t>中烟2019年度科技进步特等奖，完成行业首条加热不燃烧卷烟高速卷包成型生产线布局</w:t>
      </w:r>
      <w:r>
        <w:rPr>
          <w:rFonts w:hint="default" w:ascii="Times New Roman" w:hAnsi="Times New Roman" w:eastAsia="仿宋_GB2312" w:cs="Times New Roman"/>
          <w:color w:val="auto"/>
          <w:lang w:val="en-US" w:eastAsia="zh-CN"/>
        </w:rPr>
        <w:t>，“MC”品牌加热不燃烧烟打入日韩市场，20</w:t>
      </w:r>
      <w:r>
        <w:rPr>
          <w:rFonts w:hint="eastAsia" w:cs="Times New Roman"/>
          <w:color w:val="auto"/>
          <w:lang w:val="en-US" w:eastAsia="zh-CN"/>
        </w:rPr>
        <w:t>20</w:t>
      </w:r>
      <w:r>
        <w:rPr>
          <w:rFonts w:hint="default" w:ascii="Times New Roman" w:hAnsi="Times New Roman" w:eastAsia="仿宋_GB2312" w:cs="Times New Roman"/>
          <w:color w:val="auto"/>
          <w:lang w:val="en-US" w:eastAsia="zh-CN"/>
        </w:rPr>
        <w:t>年实现出口</w:t>
      </w:r>
      <w:r>
        <w:rPr>
          <w:rFonts w:hint="eastAsia" w:cs="Times New Roman"/>
          <w:color w:val="auto"/>
          <w:lang w:val="en-US" w:eastAsia="zh-CN"/>
        </w:rPr>
        <w:t>7760</w:t>
      </w:r>
      <w:r>
        <w:rPr>
          <w:rFonts w:hint="default" w:ascii="Times New Roman" w:hAnsi="Times New Roman" w:eastAsia="仿宋_GB2312" w:cs="Times New Roman"/>
          <w:color w:val="auto"/>
          <w:lang w:val="en-US" w:eastAsia="zh-CN"/>
        </w:rPr>
        <w:t>件，在行业占比超过</w:t>
      </w:r>
      <w:r>
        <w:rPr>
          <w:rFonts w:hint="eastAsia" w:cs="Times New Roman"/>
          <w:color w:val="auto"/>
          <w:lang w:val="en-US" w:eastAsia="zh-CN"/>
        </w:rPr>
        <w:t>42.36</w:t>
      </w:r>
      <w:r>
        <w:rPr>
          <w:rFonts w:hint="default" w:ascii="Times New Roman" w:hAnsi="Times New Roman" w:eastAsia="仿宋_GB2312" w:cs="Times New Roman"/>
          <w:color w:val="auto"/>
          <w:lang w:val="en-US" w:eastAsia="zh-CN"/>
        </w:rPr>
        <w:t>%，为集</w:t>
      </w:r>
      <w:r>
        <w:rPr>
          <w:rFonts w:hint="default" w:ascii="Times New Roman" w:hAnsi="Times New Roman" w:eastAsia="仿宋_GB2312" w:cs="Times New Roman"/>
          <w:color w:val="000000" w:themeColor="text1"/>
          <w:lang w:val="en-US" w:eastAsia="zh-CN"/>
          <w14:textFill>
            <w14:solidFill>
              <w14:schemeClr w14:val="tx1"/>
            </w14:solidFill>
          </w14:textFill>
        </w:rPr>
        <w:t>团成为行业新型烟草主力军企业打下良好基础。</w:t>
      </w:r>
    </w:p>
    <w:p>
      <w:pPr>
        <w:rPr>
          <w:rFonts w:hint="default" w:ascii="Times New Roman" w:hAnsi="Times New Roman" w:eastAsia="仿宋_GB2312" w:cs="Times New Roman"/>
          <w:b/>
          <w:bCs/>
          <w:color w:val="000000" w:themeColor="text1"/>
          <w:lang w:val="en-US" w:eastAsia="zh-CN"/>
          <w14:textFill>
            <w14:solidFill>
              <w14:schemeClr w14:val="tx1"/>
            </w14:solidFill>
          </w14:textFill>
        </w:rPr>
      </w:pPr>
      <w:r>
        <w:rPr>
          <w:rFonts w:hint="default" w:ascii="Times New Roman" w:hAnsi="Times New Roman" w:eastAsia="仿宋_GB2312" w:cs="Times New Roman"/>
          <w:b/>
          <w:bCs/>
          <w:color w:val="000000" w:themeColor="text1"/>
          <w:lang w:val="en-US" w:eastAsia="zh-CN"/>
          <w14:textFill>
            <w14:solidFill>
              <w14:schemeClr w14:val="tx1"/>
            </w14:solidFill>
          </w14:textFill>
        </w:rPr>
        <w:t>（4）卷烟技术水平进一步提升</w:t>
      </w:r>
    </w:p>
    <w:p>
      <w:pPr>
        <w:rPr>
          <w:rFonts w:hint="default" w:ascii="Times New Roman" w:hAnsi="Times New Roman" w:eastAsia="仿宋_GB2312" w:cs="Times New Roman"/>
          <w:color w:val="000000" w:themeColor="text1"/>
          <w:lang w:val="en-US" w:eastAsia="zh-CN"/>
          <w14:textFill>
            <w14:solidFill>
              <w14:schemeClr w14:val="tx1"/>
            </w14:solidFill>
          </w14:textFill>
        </w:rPr>
      </w:pPr>
      <w:r>
        <w:rPr>
          <w:rFonts w:hint="default" w:ascii="Times New Roman" w:hAnsi="Times New Roman" w:eastAsia="仿宋_GB2312" w:cs="Times New Roman"/>
          <w:color w:val="000000" w:themeColor="text1"/>
          <w:lang w:val="en-US" w:eastAsia="zh-CN"/>
          <w14:textFill>
            <w14:solidFill>
              <w14:schemeClr w14:val="tx1"/>
            </w14:solidFill>
          </w14:textFill>
        </w:rPr>
        <w:t>“十三五”以来，红塔集团积极配合云南中烟技术中心、营销中心，推进新品研发及老品改造工作，累计上市新品27个。集团新品商业销量由2015年的0.4万箱上升至20</w:t>
      </w:r>
      <w:r>
        <w:rPr>
          <w:rFonts w:hint="eastAsia" w:cs="Times New Roman"/>
          <w:color w:val="000000" w:themeColor="text1"/>
          <w:lang w:val="en-US" w:eastAsia="zh-CN"/>
          <w14:textFill>
            <w14:solidFill>
              <w14:schemeClr w14:val="tx1"/>
            </w14:solidFill>
          </w14:textFill>
        </w:rPr>
        <w:t>20</w:t>
      </w:r>
      <w:r>
        <w:rPr>
          <w:rFonts w:hint="default" w:ascii="Times New Roman" w:hAnsi="Times New Roman" w:eastAsia="仿宋_GB2312" w:cs="Times New Roman"/>
          <w:color w:val="000000" w:themeColor="text1"/>
          <w:lang w:val="en-US" w:eastAsia="zh-CN"/>
          <w14:textFill>
            <w14:solidFill>
              <w14:schemeClr w14:val="tx1"/>
            </w14:solidFill>
          </w14:textFill>
        </w:rPr>
        <w:t>年的</w:t>
      </w:r>
      <w:r>
        <w:rPr>
          <w:rFonts w:hint="eastAsia" w:cs="Times New Roman"/>
          <w:color w:val="000000" w:themeColor="text1"/>
          <w:lang w:val="en-US" w:eastAsia="zh-CN"/>
          <w14:textFill>
            <w14:solidFill>
              <w14:schemeClr w14:val="tx1"/>
            </w14:solidFill>
          </w14:textFill>
        </w:rPr>
        <w:t>19.1</w:t>
      </w:r>
      <w:r>
        <w:rPr>
          <w:rFonts w:hint="default" w:ascii="Times New Roman" w:hAnsi="Times New Roman" w:eastAsia="仿宋_GB2312" w:cs="Times New Roman"/>
          <w:color w:val="000000" w:themeColor="text1"/>
          <w:lang w:val="en-US" w:eastAsia="zh-CN"/>
          <w14:textFill>
            <w14:solidFill>
              <w14:schemeClr w14:val="tx1"/>
            </w14:solidFill>
          </w14:textFill>
        </w:rPr>
        <w:t>万箱，年均增幅</w:t>
      </w:r>
      <w:r>
        <w:rPr>
          <w:rFonts w:hint="eastAsia" w:cs="Times New Roman"/>
          <w:color w:val="000000" w:themeColor="text1"/>
          <w:lang w:val="en-US" w:eastAsia="zh-CN"/>
          <w14:textFill>
            <w14:solidFill>
              <w14:schemeClr w14:val="tx1"/>
            </w14:solidFill>
          </w14:textFill>
        </w:rPr>
        <w:t>116.7</w:t>
      </w:r>
      <w:r>
        <w:rPr>
          <w:rFonts w:hint="default" w:ascii="Times New Roman" w:hAnsi="Times New Roman" w:eastAsia="仿宋_GB2312" w:cs="Times New Roman"/>
          <w:color w:val="000000" w:themeColor="text1"/>
          <w:lang w:val="en-US" w:eastAsia="zh-CN"/>
          <w14:textFill>
            <w14:solidFill>
              <w14:schemeClr w14:val="tx1"/>
            </w14:solidFill>
          </w14:textFill>
        </w:rPr>
        <w:t>%。围绕数字化发展要求，运用先进的IT/CT/OT（信息技术、通信技术、运营技术）等技术，探索打造“智慧红塔”，将已经沉淀的近20亿条数据资产充分利用，形成了“互联网大数据引擎”，以消费端数字化驱动卷烟产业链数字化，形成“智能+烟草”体系，进一步提升了企业信息化水平。</w:t>
      </w:r>
    </w:p>
    <w:p>
      <w:pPr>
        <w:pStyle w:val="7"/>
        <w:rPr>
          <w:rFonts w:hint="default" w:ascii="Times New Roman" w:hAnsi="Times New Roman" w:eastAsia="仿宋_GB2312" w:cs="Times New Roman"/>
          <w:b/>
          <w:bCs/>
          <w:color w:val="000000" w:themeColor="text1"/>
          <w:lang w:val="en-US" w:eastAsia="zh-CN"/>
          <w14:textFill>
            <w14:solidFill>
              <w14:schemeClr w14:val="tx1"/>
            </w14:solidFill>
          </w14:textFill>
        </w:rPr>
      </w:pPr>
      <w:r>
        <w:rPr>
          <w:rFonts w:hint="default" w:ascii="Times New Roman" w:hAnsi="Times New Roman" w:eastAsia="仿宋_GB2312" w:cs="Times New Roman"/>
          <w:b/>
          <w:bCs/>
          <w:color w:val="000000" w:themeColor="text1"/>
          <w:lang w:val="en-US" w:eastAsia="zh-CN"/>
          <w14:textFill>
            <w14:solidFill>
              <w14:schemeClr w14:val="tx1"/>
            </w14:solidFill>
          </w14:textFill>
        </w:rPr>
        <w:t>2.配套业</w:t>
      </w:r>
    </w:p>
    <w:p>
      <w:pPr>
        <w:rPr>
          <w:rFonts w:hint="default" w:ascii="Times New Roman" w:hAnsi="Times New Roman" w:eastAsia="仿宋_GB2312" w:cs="Times New Roman"/>
          <w:b/>
          <w:bCs/>
          <w:color w:val="auto"/>
          <w:lang w:val="en-US" w:eastAsia="zh-CN"/>
        </w:rPr>
      </w:pPr>
      <w:r>
        <w:rPr>
          <w:rFonts w:hint="default" w:ascii="Times New Roman" w:hAnsi="Times New Roman" w:eastAsia="仿宋_GB2312" w:cs="Times New Roman"/>
          <w:b/>
          <w:bCs/>
          <w:color w:val="auto"/>
          <w:lang w:val="en-US" w:eastAsia="zh-CN"/>
        </w:rPr>
        <w:t>（1）产品门类齐全</w:t>
      </w:r>
      <w:r>
        <w:rPr>
          <w:rFonts w:hint="eastAsia" w:ascii="Times New Roman" w:hAnsi="Times New Roman" w:eastAsia="仿宋_GB2312" w:cs="Times New Roman"/>
          <w:b/>
          <w:bCs/>
          <w:color w:val="auto"/>
          <w:lang w:val="en-US" w:eastAsia="zh-CN"/>
        </w:rPr>
        <w:t>，</w:t>
      </w:r>
      <w:r>
        <w:rPr>
          <w:rFonts w:hint="default" w:ascii="Times New Roman" w:hAnsi="Times New Roman" w:eastAsia="仿宋_GB2312" w:cs="Times New Roman"/>
          <w:b/>
          <w:bCs/>
          <w:color w:val="auto"/>
          <w:lang w:val="en-US" w:eastAsia="zh-CN"/>
        </w:rPr>
        <w:t>部分产品市场竞争优势明显</w:t>
      </w:r>
    </w:p>
    <w:p>
      <w:pPr>
        <w:rPr>
          <w:rFonts w:hint="default" w:ascii="Times New Roman" w:hAnsi="Times New Roman" w:eastAsia="仿宋_GB2312" w:cs="Times New Roman"/>
          <w:color w:val="000000" w:themeColor="text1"/>
          <w:lang w:val="en-US" w:eastAsia="zh-CN"/>
          <w14:textFill>
            <w14:solidFill>
              <w14:schemeClr w14:val="tx1"/>
            </w14:solidFill>
          </w14:textFill>
        </w:rPr>
      </w:pPr>
      <w:r>
        <w:rPr>
          <w:rFonts w:hint="default" w:ascii="Times New Roman" w:hAnsi="Times New Roman" w:eastAsia="仿宋_GB2312" w:cs="Times New Roman"/>
          <w:color w:val="000000" w:themeColor="text1"/>
          <w:lang w:val="en-US" w:eastAsia="zh-CN"/>
          <w14:textFill>
            <w14:solidFill>
              <w14:schemeClr w14:val="tx1"/>
            </w14:solidFill>
          </w14:textFill>
        </w:rPr>
        <w:t>共有企业36户，含商标印刷、纸箱（纸板）、BOPP薄膜等包装印刷企业15户；再造烟叶、滤嘴棒、电化铝（镭射电化铝）、铝箔纸、滤嘴棒成型纸、水松纸、防伪标志、拉线等辅料企业</w:t>
      </w:r>
      <w:r>
        <w:rPr>
          <w:rFonts w:hint="eastAsia" w:cs="Times New Roman"/>
          <w:color w:val="000000" w:themeColor="text1"/>
          <w:lang w:val="en-US" w:eastAsia="zh-CN"/>
          <w14:textFill>
            <w14:solidFill>
              <w14:schemeClr w14:val="tx1"/>
            </w14:solidFill>
          </w14:textFill>
        </w:rPr>
        <w:t>11</w:t>
      </w:r>
      <w:r>
        <w:rPr>
          <w:rFonts w:hint="default" w:ascii="Times New Roman" w:hAnsi="Times New Roman" w:eastAsia="仿宋_GB2312" w:cs="Times New Roman"/>
          <w:color w:val="000000" w:themeColor="text1"/>
          <w:lang w:val="en-US" w:eastAsia="zh-CN"/>
          <w14:textFill>
            <w14:solidFill>
              <w14:schemeClr w14:val="tx1"/>
            </w14:solidFill>
          </w14:textFill>
        </w:rPr>
        <w:t>户；香精香料、增塑剂、卷烟用胶、卷烟胶带、烟用葡萄糖、油墨等生物化工企业10户，共涉及20多个领域、63个种类，占全省110户企业（不含</w:t>
      </w:r>
      <w:r>
        <w:rPr>
          <w:rFonts w:hint="default" w:ascii="Times New Roman" w:hAnsi="Times New Roman" w:eastAsia="仿宋_GB2312" w:cs="Times New Roman"/>
          <w:color w:val="auto"/>
          <w:lang w:val="en-US" w:eastAsia="zh-CN"/>
        </w:rPr>
        <w:t>烟草机械）的33%，资产总额55亿元，企业员工5593人；2020年，规模以上卷烟配套产业实现工业产值</w:t>
      </w:r>
      <w:r>
        <w:rPr>
          <w:rFonts w:hint="eastAsia" w:cs="Times New Roman"/>
          <w:color w:val="auto"/>
          <w:lang w:val="en-US" w:eastAsia="zh-CN"/>
        </w:rPr>
        <w:t>30.5</w:t>
      </w:r>
      <w:r>
        <w:rPr>
          <w:rFonts w:hint="default" w:ascii="Times New Roman" w:hAnsi="Times New Roman" w:eastAsia="仿宋_GB2312" w:cs="Times New Roman"/>
          <w:color w:val="auto"/>
          <w:lang w:val="en-US" w:eastAsia="zh-CN"/>
        </w:rPr>
        <w:t>亿元。为国内卷烟配套产业门类最齐全、配套能力最强的聚集地之一。“思源”牌水松纸被评为“中国驰名商</w:t>
      </w:r>
      <w:r>
        <w:rPr>
          <w:rFonts w:hint="default" w:ascii="Times New Roman" w:hAnsi="Times New Roman" w:eastAsia="仿宋_GB2312" w:cs="Times New Roman"/>
          <w:color w:val="000000" w:themeColor="text1"/>
          <w:lang w:val="en-US" w:eastAsia="zh-CN"/>
          <w14:textFill>
            <w14:solidFill>
              <w14:schemeClr w14:val="tx1"/>
            </w14:solidFill>
          </w14:textFill>
        </w:rPr>
        <w:t>标”，国内市场占有率10%；玉溪卷烟厂滤嘴棒分厂滤嘴棒国内市场占有率30%，居南亚东南亚第一。</w:t>
      </w:r>
    </w:p>
    <w:p>
      <w:pPr>
        <w:rPr>
          <w:rFonts w:hint="default" w:ascii="Times New Roman" w:hAnsi="Times New Roman" w:eastAsia="仿宋_GB2312" w:cs="Times New Roman"/>
          <w:b/>
          <w:bCs/>
          <w:color w:val="auto"/>
          <w:lang w:val="en-US" w:eastAsia="zh-CN"/>
        </w:rPr>
      </w:pPr>
      <w:r>
        <w:rPr>
          <w:rFonts w:hint="default" w:ascii="Times New Roman" w:hAnsi="Times New Roman" w:eastAsia="仿宋_GB2312" w:cs="Times New Roman"/>
          <w:b/>
          <w:bCs/>
          <w:color w:val="auto"/>
          <w:lang w:val="en-US" w:eastAsia="zh-CN"/>
        </w:rPr>
        <w:t>（2）产业基础扎实</w:t>
      </w:r>
      <w:r>
        <w:rPr>
          <w:rFonts w:hint="eastAsia" w:ascii="Times New Roman" w:hAnsi="Times New Roman" w:eastAsia="仿宋_GB2312" w:cs="Times New Roman"/>
          <w:b/>
          <w:bCs/>
          <w:color w:val="auto"/>
          <w:lang w:val="en-US" w:eastAsia="zh-CN"/>
        </w:rPr>
        <w:t>，</w:t>
      </w:r>
      <w:r>
        <w:rPr>
          <w:rFonts w:hint="default" w:ascii="Times New Roman" w:hAnsi="Times New Roman" w:eastAsia="仿宋_GB2312" w:cs="Times New Roman"/>
          <w:b/>
          <w:bCs/>
          <w:color w:val="auto"/>
          <w:lang w:val="en-US" w:eastAsia="zh-CN"/>
        </w:rPr>
        <w:t>产业化能力强劲</w:t>
      </w:r>
    </w:p>
    <w:p>
      <w:pPr>
        <w:rPr>
          <w:rFonts w:hint="default" w:ascii="Times New Roman" w:hAnsi="Times New Roman" w:eastAsia="仿宋_GB2312" w:cs="Times New Roman"/>
          <w:color w:val="000000" w:themeColor="text1"/>
          <w:lang w:val="en-US" w:eastAsia="zh-CN"/>
          <w14:textFill>
            <w14:solidFill>
              <w14:schemeClr w14:val="tx1"/>
            </w14:solidFill>
          </w14:textFill>
        </w:rPr>
      </w:pPr>
      <w:r>
        <w:rPr>
          <w:rFonts w:hint="default" w:ascii="Times New Roman" w:hAnsi="Times New Roman" w:eastAsia="仿宋_GB2312" w:cs="Times New Roman"/>
          <w:color w:val="000000" w:themeColor="text1"/>
          <w:lang w:val="en-US" w:eastAsia="zh-CN"/>
          <w14:textFill>
            <w14:solidFill>
              <w14:schemeClr w14:val="tx1"/>
            </w14:solidFill>
          </w14:textFill>
        </w:rPr>
        <w:t>卷烟配套企业坚持“专、精、特”发展之路，持续不断地引进意大利、美国、日本等国家先进设备，对企业生产技术、生产工艺进行升级改造，在水松纸、BOPP膜等生产装备上成为行业领跑者。玉溪水松纸厂是全国首个拥有万吨水松纸产能规模的企业；云南省玉溪市溶剂厂有限公司三乙酸甘油酯系列产品产销量占据国内市场半壁江山；玉溪卷烟厂滤嘴棒分厂产能规模居国内同行业前列；中烟施伟策（云南）再造烟叶有限公司拥有产能规模亚洲第一、单线产能全球第一的再造烟叶生产线。</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6" w:name="_Toc8042"/>
      <w:r>
        <w:rPr>
          <w:rFonts w:hint="default" w:ascii="Times New Roman" w:hAnsi="Times New Roman" w:cs="Times New Roman"/>
          <w:color w:val="000000" w:themeColor="text1"/>
          <w:lang w:val="en-US" w:eastAsia="zh-CN"/>
          <w14:textFill>
            <w14:solidFill>
              <w14:schemeClr w14:val="tx1"/>
            </w14:solidFill>
          </w14:textFill>
        </w:rPr>
        <w:t>（三）存在问题</w:t>
      </w:r>
      <w:bookmarkEnd w:id="6"/>
    </w:p>
    <w:p>
      <w:pPr>
        <w:rPr>
          <w:rFonts w:hint="default" w:ascii="Times New Roman" w:hAnsi="Times New Roman" w:eastAsia="仿宋_GB2312" w:cs="Times New Roman"/>
          <w:b/>
          <w:bCs/>
          <w:color w:val="000000" w:themeColor="text1"/>
          <w:lang w:val="en-US" w:eastAsia="zh-CN"/>
          <w14:textFill>
            <w14:solidFill>
              <w14:schemeClr w14:val="tx1"/>
            </w14:solidFill>
          </w14:textFill>
        </w:rPr>
      </w:pPr>
      <w:r>
        <w:rPr>
          <w:rFonts w:hint="default" w:ascii="Times New Roman" w:hAnsi="Times New Roman" w:eastAsia="仿宋_GB2312" w:cs="Times New Roman"/>
          <w:b/>
          <w:bCs/>
          <w:color w:val="000000" w:themeColor="text1"/>
          <w:lang w:val="en-US" w:eastAsia="zh-CN"/>
          <w14:textFill>
            <w14:solidFill>
              <w14:schemeClr w14:val="tx1"/>
            </w14:solidFill>
          </w14:textFill>
        </w:rPr>
        <w:t>1.卷烟业</w:t>
      </w:r>
    </w:p>
    <w:p>
      <w:pPr>
        <w:rPr>
          <w:rFonts w:hint="default" w:ascii="Times New Roman" w:hAnsi="Times New Roman" w:eastAsia="仿宋_GB2312" w:cs="Times New Roman"/>
          <w:b/>
          <w:bCs/>
          <w:color w:val="000000" w:themeColor="text1"/>
          <w:lang w:val="en-US" w:eastAsia="zh-CN"/>
          <w14:textFill>
            <w14:solidFill>
              <w14:schemeClr w14:val="tx1"/>
            </w14:solidFill>
          </w14:textFill>
        </w:rPr>
      </w:pPr>
      <w:r>
        <w:rPr>
          <w:rFonts w:hint="default" w:ascii="Times New Roman" w:hAnsi="Times New Roman" w:eastAsia="仿宋_GB2312" w:cs="Times New Roman"/>
          <w:b/>
          <w:bCs/>
          <w:color w:val="000000" w:themeColor="text1"/>
          <w:lang w:val="en-US" w:eastAsia="zh-CN"/>
          <w14:textFill>
            <w14:solidFill>
              <w14:schemeClr w14:val="tx1"/>
            </w14:solidFill>
          </w14:textFill>
        </w:rPr>
        <w:t>（1）卷烟业稳市场份额压力进一步加大</w:t>
      </w:r>
    </w:p>
    <w:p>
      <w:pPr>
        <w:rPr>
          <w:rFonts w:hint="default" w:ascii="Times New Roman" w:hAnsi="Times New Roman" w:eastAsia="仿宋_GB2312" w:cs="Times New Roman"/>
          <w:b w:val="0"/>
          <w:bCs w:val="0"/>
          <w:color w:val="auto"/>
          <w:lang w:val="en-US" w:eastAsia="zh-CN"/>
        </w:rPr>
      </w:pPr>
      <w:r>
        <w:rPr>
          <w:rFonts w:hint="default" w:ascii="Times New Roman" w:hAnsi="Times New Roman" w:eastAsia="仿宋_GB2312" w:cs="Times New Roman"/>
          <w:b w:val="0"/>
          <w:bCs w:val="0"/>
          <w:color w:val="000000" w:themeColor="text1"/>
          <w:lang w:val="en-US" w:eastAsia="zh-CN"/>
          <w14:textFill>
            <w14:solidFill>
              <w14:schemeClr w14:val="tx1"/>
            </w14:solidFill>
          </w14:textFill>
        </w:rPr>
        <w:t>受行业经济下行、提税顺价、行业控总量、调结构以及相关</w:t>
      </w:r>
      <w:r>
        <w:rPr>
          <w:rFonts w:hint="default" w:ascii="Times New Roman" w:hAnsi="Times New Roman" w:eastAsia="仿宋_GB2312" w:cs="Times New Roman"/>
          <w:b w:val="0"/>
          <w:bCs w:val="0"/>
          <w:color w:val="auto"/>
          <w:lang w:val="en-US" w:eastAsia="zh-CN"/>
        </w:rPr>
        <w:t>控烟政策影响，</w:t>
      </w:r>
      <w:r>
        <w:rPr>
          <w:rFonts w:hint="default" w:ascii="Times New Roman" w:hAnsi="Times New Roman" w:eastAsia="仿宋_GB2312" w:cs="Times New Roman"/>
          <w:color w:val="auto"/>
          <w:lang w:val="en-US" w:eastAsia="zh-CN"/>
        </w:rPr>
        <w:t>集团品牌商业销量逐年下滑，</w:t>
      </w:r>
      <w:r>
        <w:rPr>
          <w:rFonts w:hint="default" w:ascii="Times New Roman" w:hAnsi="Times New Roman" w:eastAsia="仿宋_GB2312" w:cs="Times New Roman"/>
          <w:bCs/>
          <w:color w:val="auto"/>
          <w:sz w:val="32"/>
          <w:szCs w:val="32"/>
          <w:lang w:val="en-US" w:eastAsia="zh-CN"/>
        </w:rPr>
        <w:t>截</w:t>
      </w:r>
      <w:r>
        <w:rPr>
          <w:rFonts w:hint="eastAsia" w:ascii="Times New Roman" w:hAnsi="Times New Roman" w:eastAsia="仿宋_GB2312" w:cs="Times New Roman"/>
          <w:bCs/>
          <w:color w:val="auto"/>
          <w:sz w:val="32"/>
          <w:szCs w:val="32"/>
          <w:lang w:val="en-US" w:eastAsia="zh-CN"/>
        </w:rPr>
        <w:t>至</w:t>
      </w:r>
      <w:r>
        <w:rPr>
          <w:rFonts w:hint="default" w:ascii="Times New Roman" w:hAnsi="Times New Roman" w:eastAsia="仿宋_GB2312" w:cs="Times New Roman"/>
          <w:bCs/>
          <w:color w:val="auto"/>
          <w:sz w:val="32"/>
          <w:szCs w:val="32"/>
          <w:lang w:val="en-US" w:eastAsia="zh-CN"/>
        </w:rPr>
        <w:t>20</w:t>
      </w:r>
      <w:r>
        <w:rPr>
          <w:rFonts w:hint="eastAsia" w:ascii="Times New Roman" w:hAnsi="Times New Roman" w:eastAsia="仿宋_GB2312" w:cs="Times New Roman"/>
          <w:bCs/>
          <w:color w:val="auto"/>
          <w:sz w:val="32"/>
          <w:szCs w:val="32"/>
          <w:lang w:val="en-US" w:eastAsia="zh-CN"/>
        </w:rPr>
        <w:t>20</w:t>
      </w:r>
      <w:r>
        <w:rPr>
          <w:rFonts w:hint="default" w:ascii="Times New Roman" w:hAnsi="Times New Roman" w:eastAsia="仿宋_GB2312" w:cs="Times New Roman"/>
          <w:bCs/>
          <w:color w:val="auto"/>
          <w:sz w:val="32"/>
          <w:szCs w:val="32"/>
          <w:lang w:val="en-US" w:eastAsia="zh-CN"/>
        </w:rPr>
        <w:t>年</w:t>
      </w:r>
      <w:r>
        <w:rPr>
          <w:rFonts w:hint="default" w:ascii="Times New Roman" w:hAnsi="Times New Roman" w:eastAsia="仿宋_GB2312" w:cs="Times New Roman"/>
          <w:color w:val="auto"/>
          <w:lang w:val="en-US" w:eastAsia="zh-CN"/>
        </w:rPr>
        <w:t>集团品牌商业销量</w:t>
      </w:r>
      <w:r>
        <w:rPr>
          <w:rFonts w:hint="eastAsia" w:cs="Times New Roman"/>
          <w:color w:val="auto"/>
          <w:lang w:val="en-US" w:eastAsia="zh-CN"/>
        </w:rPr>
        <w:t>419.2</w:t>
      </w:r>
      <w:r>
        <w:rPr>
          <w:rFonts w:hint="default" w:ascii="Times New Roman" w:hAnsi="Times New Roman" w:eastAsia="仿宋_GB2312" w:cs="Times New Roman"/>
          <w:color w:val="auto"/>
          <w:lang w:val="en-US" w:eastAsia="zh-CN"/>
        </w:rPr>
        <w:t>万箱，较2015年的551万箱年均降幅</w:t>
      </w:r>
      <w:r>
        <w:rPr>
          <w:rFonts w:hint="eastAsia" w:cs="Times New Roman"/>
          <w:color w:val="auto"/>
          <w:lang w:val="en-US" w:eastAsia="zh-CN"/>
        </w:rPr>
        <w:t>5.3</w:t>
      </w:r>
      <w:r>
        <w:rPr>
          <w:rFonts w:hint="default" w:ascii="Times New Roman" w:hAnsi="Times New Roman" w:eastAsia="仿宋_GB2312" w:cs="Times New Roman"/>
          <w:color w:val="auto"/>
          <w:lang w:val="en-US" w:eastAsia="zh-CN"/>
        </w:rPr>
        <w:t>%；受集团品牌销量下滑影响，集团品牌商业销售额从“十二五”末的</w:t>
      </w:r>
      <w:r>
        <w:rPr>
          <w:rFonts w:hint="eastAsia" w:cs="Times New Roman"/>
          <w:color w:val="auto"/>
          <w:lang w:val="en-US" w:eastAsia="zh-CN"/>
        </w:rPr>
        <w:t>1429.61</w:t>
      </w:r>
      <w:r>
        <w:rPr>
          <w:rFonts w:hint="default" w:ascii="Times New Roman" w:hAnsi="Times New Roman" w:eastAsia="仿宋_GB2312" w:cs="Times New Roman"/>
          <w:color w:val="auto"/>
          <w:lang w:val="en-US" w:eastAsia="zh-CN"/>
        </w:rPr>
        <w:t>亿元降至20</w:t>
      </w:r>
      <w:r>
        <w:rPr>
          <w:rFonts w:hint="eastAsia" w:cs="Times New Roman"/>
          <w:color w:val="auto"/>
          <w:lang w:val="en-US" w:eastAsia="zh-CN"/>
        </w:rPr>
        <w:t>20</w:t>
      </w:r>
      <w:r>
        <w:rPr>
          <w:rFonts w:hint="default" w:ascii="Times New Roman" w:hAnsi="Times New Roman" w:eastAsia="仿宋_GB2312" w:cs="Times New Roman"/>
          <w:color w:val="auto"/>
          <w:lang w:val="en-US" w:eastAsia="zh-CN"/>
        </w:rPr>
        <w:t>年的</w:t>
      </w:r>
      <w:r>
        <w:rPr>
          <w:rFonts w:hint="eastAsia" w:cs="Times New Roman"/>
          <w:color w:val="auto"/>
          <w:lang w:val="en-US" w:eastAsia="zh-CN"/>
        </w:rPr>
        <w:t>1245.11</w:t>
      </w:r>
      <w:r>
        <w:rPr>
          <w:rFonts w:hint="default" w:ascii="Times New Roman" w:hAnsi="Times New Roman" w:eastAsia="仿宋_GB2312" w:cs="Times New Roman"/>
          <w:color w:val="auto"/>
          <w:lang w:val="en-US" w:eastAsia="zh-CN"/>
        </w:rPr>
        <w:t>亿元，年均降幅</w:t>
      </w:r>
      <w:r>
        <w:rPr>
          <w:rFonts w:hint="eastAsia" w:cs="Times New Roman"/>
          <w:color w:val="auto"/>
          <w:lang w:val="en-US" w:eastAsia="zh-CN"/>
        </w:rPr>
        <w:t>2.73</w:t>
      </w:r>
      <w:r>
        <w:rPr>
          <w:rFonts w:hint="default" w:ascii="Times New Roman" w:hAnsi="Times New Roman" w:eastAsia="仿宋_GB2312" w:cs="Times New Roman"/>
          <w:color w:val="auto"/>
          <w:lang w:val="en-US" w:eastAsia="zh-CN"/>
        </w:rPr>
        <w:t>%。</w:t>
      </w:r>
      <w:r>
        <w:rPr>
          <w:rFonts w:hint="default" w:ascii="Times New Roman" w:hAnsi="Times New Roman" w:eastAsia="仿宋_GB2312" w:cs="Times New Roman"/>
          <w:b w:val="0"/>
          <w:bCs w:val="0"/>
          <w:color w:val="auto"/>
          <w:lang w:val="en-US" w:eastAsia="zh-CN"/>
        </w:rPr>
        <w:t>地方烟草专卖逐渐固化，“玉溪”自初心系列的高开低走之后，有掉队的风险，红塔集团市场份额从2015年的</w:t>
      </w:r>
      <w:r>
        <w:rPr>
          <w:rFonts w:hint="eastAsia" w:cs="Times New Roman"/>
          <w:b w:val="0"/>
          <w:bCs w:val="0"/>
          <w:color w:val="auto"/>
          <w:lang w:val="en-US" w:eastAsia="zh-CN"/>
        </w:rPr>
        <w:t>11.07</w:t>
      </w:r>
      <w:r>
        <w:rPr>
          <w:rFonts w:hint="default" w:ascii="Times New Roman" w:hAnsi="Times New Roman" w:eastAsia="仿宋_GB2312" w:cs="Times New Roman"/>
          <w:b w:val="0"/>
          <w:bCs w:val="0"/>
          <w:color w:val="auto"/>
          <w:lang w:val="en-US" w:eastAsia="zh-CN"/>
        </w:rPr>
        <w:t>%降至20</w:t>
      </w:r>
      <w:r>
        <w:rPr>
          <w:rFonts w:hint="eastAsia" w:cs="Times New Roman"/>
          <w:b w:val="0"/>
          <w:bCs w:val="0"/>
          <w:color w:val="auto"/>
          <w:lang w:val="en-US" w:eastAsia="zh-CN"/>
        </w:rPr>
        <w:t>20</w:t>
      </w:r>
      <w:r>
        <w:rPr>
          <w:rFonts w:hint="default" w:ascii="Times New Roman" w:hAnsi="Times New Roman" w:eastAsia="仿宋_GB2312" w:cs="Times New Roman"/>
          <w:b w:val="0"/>
          <w:bCs w:val="0"/>
          <w:color w:val="auto"/>
          <w:lang w:val="en-US" w:eastAsia="zh-CN"/>
        </w:rPr>
        <w:t>年的</w:t>
      </w:r>
      <w:r>
        <w:rPr>
          <w:rFonts w:hint="eastAsia" w:cs="Times New Roman"/>
          <w:b w:val="0"/>
          <w:bCs w:val="0"/>
          <w:color w:val="auto"/>
          <w:lang w:val="en-US" w:eastAsia="zh-CN"/>
        </w:rPr>
        <w:t>8.74</w:t>
      </w:r>
      <w:r>
        <w:rPr>
          <w:rFonts w:hint="default" w:ascii="Times New Roman" w:hAnsi="Times New Roman" w:eastAsia="仿宋_GB2312" w:cs="Times New Roman"/>
          <w:b w:val="0"/>
          <w:bCs w:val="0"/>
          <w:color w:val="auto"/>
          <w:lang w:val="en-US" w:eastAsia="zh-CN"/>
        </w:rPr>
        <w:t>%，未来稳销量稳份额压力进一步加大。</w:t>
      </w:r>
    </w:p>
    <w:p>
      <w:pPr>
        <w:rPr>
          <w:rFonts w:hint="default" w:ascii="Times New Roman" w:hAnsi="Times New Roman" w:eastAsia="仿宋_GB2312" w:cs="Times New Roman"/>
          <w:b/>
          <w:bCs/>
          <w:color w:val="000000" w:themeColor="text1"/>
          <w:lang w:val="en-US" w:eastAsia="zh-CN"/>
          <w14:textFill>
            <w14:solidFill>
              <w14:schemeClr w14:val="tx1"/>
            </w14:solidFill>
          </w14:textFill>
        </w:rPr>
      </w:pPr>
      <w:r>
        <w:rPr>
          <w:rFonts w:hint="default" w:ascii="Times New Roman" w:hAnsi="Times New Roman" w:eastAsia="仿宋_GB2312" w:cs="Times New Roman"/>
          <w:b/>
          <w:bCs/>
          <w:color w:val="000000" w:themeColor="text1"/>
          <w:lang w:val="en-US" w:eastAsia="zh-CN"/>
          <w14:textFill>
            <w14:solidFill>
              <w14:schemeClr w14:val="tx1"/>
            </w14:solidFill>
          </w14:textFill>
        </w:rPr>
        <w:t>（2）产品供给结构不能有效满足市场需求</w:t>
      </w:r>
    </w:p>
    <w:p>
      <w:pPr>
        <w:rPr>
          <w:rFonts w:hint="default" w:ascii="Times New Roman" w:hAnsi="Times New Roman" w:eastAsia="仿宋_GB2312" w:cs="Times New Roman"/>
          <w:color w:val="000000" w:themeColor="text1"/>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lang w:val="en-US" w:eastAsia="zh-CN"/>
          <w14:textFill>
            <w14:solidFill>
              <w14:schemeClr w14:val="tx1"/>
            </w14:solidFill>
          </w14:textFill>
        </w:rPr>
        <w:t>尽管行业发展呈现顶板效应，但随着自主消费、安全消费、绿色消费、文明消费成为主流，烟草消费迎来新生态，一、二类卷烟销售比重呈逐年上升趋势，三类以下卷烟销售比重持续收窄。红塔集团二类烟占比低于2%，三类烟占比高达57%，创新品类短、中、细、爆也不能较好的满足市场需求。</w:t>
      </w:r>
      <w:r>
        <w:rPr>
          <w:rFonts w:hint="default" w:ascii="Times New Roman" w:hAnsi="Times New Roman" w:eastAsia="仿宋_GB2312" w:cs="Times New Roman"/>
          <w:color w:val="000000" w:themeColor="text1"/>
          <w:lang w:val="en-US" w:eastAsia="zh-CN"/>
          <w14:textFill>
            <w14:solidFill>
              <w14:schemeClr w14:val="tx1"/>
            </w14:solidFill>
          </w14:textFill>
        </w:rPr>
        <w:t>2015年，全国卷烟单箱批发销售额为28575元，红塔集团单箱批发销售额为25933元；2020年，全国卷烟单箱批发销售额为</w:t>
      </w:r>
      <w:r>
        <w:rPr>
          <w:rFonts w:hint="eastAsia" w:cs="Times New Roman"/>
          <w:color w:val="000000" w:themeColor="text1"/>
          <w:lang w:val="en-US" w:eastAsia="zh-CN"/>
          <w14:textFill>
            <w14:solidFill>
              <w14:schemeClr w14:val="tx1"/>
            </w14:solidFill>
          </w14:textFill>
        </w:rPr>
        <w:t>33986</w:t>
      </w:r>
      <w:r>
        <w:rPr>
          <w:rFonts w:hint="default" w:ascii="Times New Roman" w:hAnsi="Times New Roman" w:eastAsia="仿宋_GB2312" w:cs="Times New Roman"/>
          <w:color w:val="000000" w:themeColor="text1"/>
          <w:lang w:val="en-US" w:eastAsia="zh-CN"/>
          <w14:textFill>
            <w14:solidFill>
              <w14:schemeClr w14:val="tx1"/>
            </w14:solidFill>
          </w14:textFill>
        </w:rPr>
        <w:t>元，红塔集团单箱批发销售额为</w:t>
      </w:r>
      <w:r>
        <w:rPr>
          <w:rFonts w:hint="eastAsia" w:cs="Times New Roman"/>
          <w:color w:val="000000" w:themeColor="text1"/>
          <w:lang w:val="en-US" w:eastAsia="zh-CN"/>
          <w14:textFill>
            <w14:solidFill>
              <w14:schemeClr w14:val="tx1"/>
            </w14:solidFill>
          </w14:textFill>
        </w:rPr>
        <w:t>29700</w:t>
      </w:r>
      <w:r>
        <w:rPr>
          <w:rFonts w:hint="default" w:ascii="Times New Roman" w:hAnsi="Times New Roman" w:eastAsia="仿宋_GB2312" w:cs="Times New Roman"/>
          <w:color w:val="000000" w:themeColor="text1"/>
          <w:lang w:val="en-US" w:eastAsia="zh-CN"/>
          <w14:textFill>
            <w14:solidFill>
              <w14:schemeClr w14:val="tx1"/>
            </w14:solidFill>
          </w14:textFill>
        </w:rPr>
        <w:t>元；与行业差距从2015年的2642元扩大到</w:t>
      </w:r>
      <w:r>
        <w:rPr>
          <w:rFonts w:hint="eastAsia" w:cs="Times New Roman"/>
          <w:color w:val="000000" w:themeColor="text1"/>
          <w:lang w:val="en-US" w:eastAsia="zh-CN"/>
          <w14:textFill>
            <w14:solidFill>
              <w14:schemeClr w14:val="tx1"/>
            </w14:solidFill>
          </w14:textFill>
        </w:rPr>
        <w:t>4286</w:t>
      </w:r>
      <w:r>
        <w:rPr>
          <w:rFonts w:hint="default" w:ascii="Times New Roman" w:hAnsi="Times New Roman" w:eastAsia="仿宋_GB2312" w:cs="Times New Roman"/>
          <w:color w:val="000000" w:themeColor="text1"/>
          <w:lang w:val="en-US" w:eastAsia="zh-CN"/>
          <w14:textFill>
            <w14:solidFill>
              <w14:schemeClr w14:val="tx1"/>
            </w14:solidFill>
          </w14:textFill>
        </w:rPr>
        <w:t>元，集团结构提升速度远低于行业平均水平，品牌结构提升难度加大。</w:t>
      </w:r>
    </w:p>
    <w:p>
      <w:pPr>
        <w:rPr>
          <w:rFonts w:hint="default" w:ascii="Times New Roman" w:hAnsi="Times New Roman" w:eastAsia="仿宋_GB2312" w:cs="Times New Roman"/>
          <w:b/>
          <w:bCs/>
          <w:color w:val="000000" w:themeColor="text1"/>
          <w:lang w:val="en-US" w:eastAsia="zh-CN"/>
          <w14:textFill>
            <w14:solidFill>
              <w14:schemeClr w14:val="tx1"/>
            </w14:solidFill>
          </w14:textFill>
        </w:rPr>
      </w:pPr>
      <w:r>
        <w:rPr>
          <w:rFonts w:hint="default" w:ascii="Times New Roman" w:hAnsi="Times New Roman" w:eastAsia="仿宋_GB2312" w:cs="Times New Roman"/>
          <w:b/>
          <w:bCs/>
          <w:color w:val="000000" w:themeColor="text1"/>
          <w:lang w:val="en-US" w:eastAsia="zh-CN"/>
          <w14:textFill>
            <w14:solidFill>
              <w14:schemeClr w14:val="tx1"/>
            </w14:solidFill>
          </w14:textFill>
        </w:rPr>
        <w:t>2.配套业</w:t>
      </w:r>
    </w:p>
    <w:p>
      <w:pPr>
        <w:rPr>
          <w:rFonts w:hint="default" w:ascii="Times New Roman" w:hAnsi="Times New Roman" w:eastAsia="仿宋_GB2312" w:cs="Times New Roman"/>
          <w:b/>
          <w:bCs/>
          <w:color w:val="000000" w:themeColor="text1"/>
          <w:lang w:val="en-US" w:eastAsia="zh-CN"/>
          <w14:textFill>
            <w14:solidFill>
              <w14:schemeClr w14:val="tx1"/>
            </w14:solidFill>
          </w14:textFill>
        </w:rPr>
      </w:pPr>
      <w:r>
        <w:rPr>
          <w:rFonts w:hint="default" w:ascii="Times New Roman" w:hAnsi="Times New Roman" w:eastAsia="仿宋_GB2312" w:cs="Times New Roman"/>
          <w:b/>
          <w:bCs/>
          <w:color w:val="000000" w:themeColor="text1"/>
          <w:lang w:val="en-US" w:eastAsia="zh-CN"/>
          <w14:textFill>
            <w14:solidFill>
              <w14:schemeClr w14:val="tx1"/>
            </w14:solidFill>
          </w14:textFill>
        </w:rPr>
        <w:t>（1）竞争力提升缓慢</w:t>
      </w:r>
      <w:r>
        <w:rPr>
          <w:rFonts w:hint="eastAsia" w:cs="Times New Roman"/>
          <w:b/>
          <w:bCs/>
          <w:color w:val="000000" w:themeColor="text1"/>
          <w:lang w:val="en-US" w:eastAsia="zh-CN"/>
          <w14:textFill>
            <w14:solidFill>
              <w14:schemeClr w14:val="tx1"/>
            </w14:solidFill>
          </w14:textFill>
        </w:rPr>
        <w:t>，</w:t>
      </w:r>
      <w:r>
        <w:rPr>
          <w:rFonts w:hint="default" w:ascii="Times New Roman" w:hAnsi="Times New Roman" w:eastAsia="仿宋_GB2312" w:cs="Times New Roman"/>
          <w:b/>
          <w:bCs/>
          <w:color w:val="000000" w:themeColor="text1"/>
          <w:lang w:val="en-US" w:eastAsia="zh-CN"/>
          <w14:textFill>
            <w14:solidFill>
              <w14:schemeClr w14:val="tx1"/>
            </w14:solidFill>
          </w14:textFill>
        </w:rPr>
        <w:t>产业增长乏力</w:t>
      </w:r>
    </w:p>
    <w:p>
      <w:pPr>
        <w:rPr>
          <w:rFonts w:hint="default" w:ascii="Times New Roman" w:hAnsi="Times New Roman" w:eastAsia="仿宋_GB2312" w:cs="Times New Roman"/>
          <w:bCs/>
          <w:color w:val="auto"/>
          <w:kern w:val="2"/>
          <w:sz w:val="32"/>
          <w:szCs w:val="32"/>
          <w:lang w:val="en-US" w:eastAsia="zh-CN" w:bidi="ar-SA"/>
        </w:rPr>
      </w:pPr>
      <w:r>
        <w:rPr>
          <w:rFonts w:hint="default" w:ascii="Times New Roman" w:hAnsi="Times New Roman" w:eastAsia="仿宋_GB2312" w:cs="Times New Roman"/>
          <w:color w:val="000000" w:themeColor="text1"/>
          <w:lang w:val="en-US" w:eastAsia="zh-CN"/>
          <w14:textFill>
            <w14:solidFill>
              <w14:schemeClr w14:val="tx1"/>
            </w14:solidFill>
          </w14:textFill>
        </w:rPr>
        <w:t>配套企业产品结构单一，收入来源单一，跨行业渗透性不强，对卷烟企业依赖程度较高，抵御风险能力较差。</w:t>
      </w:r>
      <w:r>
        <w:rPr>
          <w:rFonts w:hint="default" w:ascii="Times New Roman" w:hAnsi="Times New Roman" w:eastAsia="仿宋_GB2312" w:cs="Times New Roman"/>
          <w:b w:val="0"/>
          <w:bCs w:val="0"/>
          <w:color w:val="000000" w:themeColor="text1"/>
          <w:lang w:val="en-US" w:eastAsia="zh-CN"/>
          <w14:textFill>
            <w14:solidFill>
              <w14:schemeClr w14:val="tx1"/>
            </w14:solidFill>
          </w14:textFill>
        </w:rPr>
        <w:t>相较于广东等省外企业，我市部分配套企业受体制、人才、管理和智能化程度、规模效益等影响，生产经营成本居高，缺乏进一步拓展市场的竞争力。加之卷烟辅料招标采购政策变化影响，</w:t>
      </w:r>
      <w:r>
        <w:rPr>
          <w:rFonts w:hint="default" w:ascii="Times New Roman" w:hAnsi="Times New Roman" w:eastAsia="仿宋_GB2312" w:cs="Times New Roman"/>
          <w:color w:val="000000" w:themeColor="text1"/>
          <w:kern w:val="2"/>
          <w:sz w:val="32"/>
          <w:szCs w:val="24"/>
          <w:lang w:val="en-US" w:eastAsia="zh-CN" w:bidi="ar-SA"/>
          <w14:textFill>
            <w14:solidFill>
              <w14:schemeClr w14:val="tx1"/>
            </w14:solidFill>
          </w14:textFill>
        </w:rPr>
        <w:t>配套企业利润空间不断缩小，行业发展陷入瓶颈期，</w:t>
      </w:r>
      <w:r>
        <w:rPr>
          <w:rFonts w:hint="default" w:ascii="Times New Roman" w:hAnsi="Times New Roman" w:eastAsia="仿宋_GB2312" w:cs="Times New Roman"/>
          <w:b w:val="0"/>
          <w:bCs w:val="0"/>
          <w:color w:val="000000" w:themeColor="text1"/>
          <w:lang w:val="en-US" w:eastAsia="zh-CN"/>
          <w14:textFill>
            <w14:solidFill>
              <w14:schemeClr w14:val="tx1"/>
            </w14:solidFill>
          </w14:textFill>
        </w:rPr>
        <w:t>配套市场占有率呈现萎缩态势。</w:t>
      </w:r>
      <w:r>
        <w:rPr>
          <w:rFonts w:hint="default" w:ascii="Times New Roman" w:hAnsi="Times New Roman" w:eastAsia="仿宋_GB2312" w:cs="Times New Roman"/>
          <w:bCs/>
          <w:color w:val="auto"/>
          <w:kern w:val="2"/>
          <w:sz w:val="32"/>
          <w:szCs w:val="32"/>
          <w:lang w:val="en-US" w:eastAsia="zh-CN" w:bidi="ar-SA"/>
        </w:rPr>
        <w:t>2020年</w:t>
      </w:r>
      <w:r>
        <w:rPr>
          <w:rFonts w:hint="eastAsia"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kern w:val="2"/>
          <w:sz w:val="32"/>
          <w:szCs w:val="32"/>
          <w:lang w:val="en-US" w:eastAsia="zh-CN" w:bidi="ar-SA"/>
        </w:rPr>
        <w:t>卷烟配套业实现规模以上工业总产值30.5亿元，同比减少20.9%。比2016年减少11.2亿元，年均减少6%；工业增加值8.3亿元，比2016年减少7.1亿元。</w:t>
      </w:r>
    </w:p>
    <w:p>
      <w:pPr>
        <w:rPr>
          <w:rFonts w:hint="default" w:ascii="Times New Roman" w:hAnsi="Times New Roman" w:eastAsia="仿宋_GB2312" w:cs="Times New Roman"/>
          <w:b/>
          <w:bCs/>
          <w:color w:val="000000" w:themeColor="text1"/>
          <w:lang w:val="en-US" w:eastAsia="zh-CN"/>
          <w14:textFill>
            <w14:solidFill>
              <w14:schemeClr w14:val="tx1"/>
            </w14:solidFill>
          </w14:textFill>
        </w:rPr>
      </w:pPr>
      <w:r>
        <w:rPr>
          <w:rFonts w:hint="default" w:ascii="Times New Roman" w:hAnsi="Times New Roman" w:eastAsia="仿宋_GB2312" w:cs="Times New Roman"/>
          <w:b/>
          <w:bCs/>
          <w:color w:val="000000" w:themeColor="text1"/>
          <w:lang w:val="en-US" w:eastAsia="zh-CN"/>
          <w14:textFill>
            <w14:solidFill>
              <w14:schemeClr w14:val="tx1"/>
            </w14:solidFill>
          </w14:textFill>
        </w:rPr>
        <w:t>（2）创新能力不足</w:t>
      </w:r>
    </w:p>
    <w:p>
      <w:pPr>
        <w:rPr>
          <w:rFonts w:hint="default" w:ascii="Times New Roman" w:hAnsi="Times New Roman" w:eastAsia="仿宋_GB2312" w:cs="Times New Roman"/>
          <w:b w:val="0"/>
          <w:bCs w:val="0"/>
          <w:color w:val="000000" w:themeColor="text1"/>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多数卷烟配套企业缺乏危机感，</w:t>
      </w:r>
      <w:r>
        <w:rPr>
          <w:rFonts w:hint="default" w:ascii="Times New Roman" w:hAnsi="Times New Roman" w:eastAsia="仿宋_GB2312" w:cs="Times New Roman"/>
          <w:color w:val="000000" w:themeColor="text1"/>
          <w:lang w:eastAsia="zh-CN"/>
          <w14:textFill>
            <w14:solidFill>
              <w14:schemeClr w14:val="tx1"/>
            </w14:solidFill>
          </w14:textFill>
        </w:rPr>
        <w:t>对加强研发、积极创新、主动配套、服务市场未能提前布局，对新技术、新产品的研究开发重视不够，造成技术落后、产品老化，在卷烟新产品和新包装日新月异的市场潮流中，适应市场变化、满足市场需求的能力逐渐减弱，</w:t>
      </w:r>
      <w:r>
        <w:rPr>
          <w:rFonts w:hint="default" w:ascii="Times New Roman" w:hAnsi="Times New Roman" w:eastAsia="仿宋_GB2312" w:cs="Times New Roman"/>
          <w:color w:val="000000" w:themeColor="text1"/>
          <w:lang w:val="en-US" w:eastAsia="zh-CN"/>
          <w14:textFill>
            <w14:solidFill>
              <w14:schemeClr w14:val="tx1"/>
            </w14:solidFill>
          </w14:textFill>
        </w:rPr>
        <w:t>不能有效满足红塔集团传统卷烟创新品类和新型烟草制品需要。</w:t>
      </w:r>
      <w:r>
        <w:rPr>
          <w:rFonts w:hint="default" w:ascii="Times New Roman" w:hAnsi="Times New Roman" w:eastAsia="仿宋_GB2312" w:cs="Times New Roman"/>
          <w:b w:val="0"/>
          <w:bCs w:val="0"/>
          <w:color w:val="000000" w:themeColor="text1"/>
          <w:lang w:val="en-US" w:eastAsia="zh-CN"/>
          <w14:textFill>
            <w14:solidFill>
              <w14:schemeClr w14:val="tx1"/>
            </w14:solidFill>
          </w14:textFill>
        </w:rPr>
        <w:t>据相关部门和配套企业测算，目前我市配套产业仅占红塔集团烟用物资的20%左右，且呈逐年下降趋势。配套企业</w:t>
      </w:r>
      <w:r>
        <w:rPr>
          <w:rFonts w:hint="default" w:ascii="Times New Roman" w:hAnsi="Times New Roman" w:eastAsia="仿宋_GB2312" w:cs="Times New Roman"/>
          <w:color w:val="000000" w:themeColor="text1"/>
          <w:lang w:eastAsia="zh-CN"/>
          <w14:textFill>
            <w14:solidFill>
              <w14:schemeClr w14:val="tx1"/>
            </w14:solidFill>
          </w14:textFill>
        </w:rPr>
        <w:t>普遍缺乏中高端人才，设计、调香、造纸、机械自动化等专业人才较为欠缺，普通技术工人招不到、留不住，制约产业进一步发展。</w:t>
      </w:r>
    </w:p>
    <w:p>
      <w:pPr>
        <w:pStyle w:val="3"/>
        <w:numPr>
          <w:ilvl w:val="0"/>
          <w:numId w:val="0"/>
        </w:numPr>
        <w:bidi w:val="0"/>
        <w:ind w:leftChars="0"/>
        <w:rPr>
          <w:rFonts w:hint="default" w:ascii="Times New Roman" w:hAnsi="Times New Roman" w:cs="Times New Roman"/>
          <w:color w:val="000000" w:themeColor="text1"/>
          <w:lang w:val="en-US" w:eastAsia="zh-CN"/>
          <w14:textFill>
            <w14:solidFill>
              <w14:schemeClr w14:val="tx1"/>
            </w14:solidFill>
          </w14:textFill>
        </w:rPr>
      </w:pPr>
      <w:bookmarkStart w:id="7" w:name="_Toc17292"/>
      <w:r>
        <w:rPr>
          <w:rFonts w:hint="default" w:ascii="Times New Roman" w:hAnsi="Times New Roman" w:cs="Times New Roman"/>
          <w:color w:val="000000" w:themeColor="text1"/>
          <w:lang w:val="en-US" w:eastAsia="zh-CN"/>
          <w14:textFill>
            <w14:solidFill>
              <w14:schemeClr w14:val="tx1"/>
            </w14:solidFill>
          </w14:textFill>
        </w:rPr>
        <w:t>二、产业面临形势</w:t>
      </w:r>
      <w:bookmarkEnd w:id="7"/>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8" w:name="_Toc25202"/>
      <w:r>
        <w:rPr>
          <w:rFonts w:hint="default" w:ascii="Times New Roman" w:hAnsi="Times New Roman" w:cs="Times New Roman"/>
          <w:color w:val="000000" w:themeColor="text1"/>
          <w:lang w:val="en-US" w:eastAsia="zh-CN"/>
          <w14:textFill>
            <w14:solidFill>
              <w14:schemeClr w14:val="tx1"/>
            </w14:solidFill>
          </w14:textFill>
        </w:rPr>
        <w:t>（一）控烟力度加强，竞争更加激烈</w:t>
      </w:r>
      <w:bookmarkEnd w:id="8"/>
    </w:p>
    <w:p>
      <w:pP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随着人们健康意识的不断增强、控烟力度不断加强、以及提税顺价等综合性因素影响，烟草市场的发展正受到越来越大的限制。《健康中国2030规划》明确提出了禁烟、控烟方面的具体发展目标，要求在2030年把我国目前27%的吸烟人群降低到20%，</w:t>
      </w:r>
      <w:r>
        <w:rPr>
          <w:rFonts w:hint="default" w:ascii="Times New Roman" w:hAnsi="Times New Roman" w:eastAsia="仿宋_GB2312" w:cs="Times New Roman"/>
          <w:color w:val="auto"/>
          <w:sz w:val="32"/>
          <w:szCs w:val="32"/>
          <w:highlight w:val="none"/>
          <w:lang w:val="en-US" w:eastAsia="zh-CN"/>
        </w:rPr>
        <w:t>按照</w:t>
      </w:r>
      <w:r>
        <w:rPr>
          <w:rFonts w:hint="eastAsia" w:cs="Times New Roman"/>
          <w:color w:val="auto"/>
          <w:sz w:val="32"/>
          <w:szCs w:val="32"/>
          <w:highlight w:val="none"/>
          <w:lang w:val="en-US" w:eastAsia="zh-CN"/>
        </w:rPr>
        <w:t>14.1</w:t>
      </w:r>
      <w:r>
        <w:rPr>
          <w:rFonts w:hint="default" w:ascii="Times New Roman" w:hAnsi="Times New Roman" w:eastAsia="仿宋_GB2312" w:cs="Times New Roman"/>
          <w:color w:val="auto"/>
          <w:sz w:val="32"/>
          <w:szCs w:val="32"/>
          <w:highlight w:val="none"/>
          <w:lang w:val="en-US" w:eastAsia="zh-CN"/>
        </w:rPr>
        <w:t>亿人口算，即要控制在3亿人以下。2020年5月，中共</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中央、国务院《关于新时代加快完善社会主义市场经济体制的意见》中明确“完善烟草专卖专营体制，构建适度竞争新机制”，对烟草行业提出了新要求。中国共产党第十九届五中全会提出到2035年建成体育强国、健康中国等，将对中国烟草行业的发展产生长期影响。</w:t>
      </w:r>
      <w:r>
        <w:rPr>
          <w:rFonts w:hint="default" w:ascii="Times New Roman" w:hAnsi="Times New Roman" w:eastAsia="仿宋_GB2312" w:cs="Times New Roman"/>
          <w:b w:val="0"/>
          <w:bCs w:val="0"/>
          <w:color w:val="000000" w:themeColor="text1"/>
          <w:lang w:val="en-US" w:eastAsia="zh-CN"/>
          <w14:textFill>
            <w14:solidFill>
              <w14:schemeClr w14:val="tx1"/>
            </w14:solidFill>
          </w14:textFill>
        </w:rPr>
        <w:t>卷烟产业发展规模进一步受限，中国规模以上烟草企业数量从2015年的129家降至2018年的116家，未来烟草企业数量将继续减少，现有存量规模将持续降低，烟草企业间的竞争将更加激烈。</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由于烟草行业的重要地位和作用，同时受经济调整和下行及疫情影响，短期对烟草进行较大禁烟改革可能性不大，但从长远来看，卷烟产业挑战大于机遇。</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9" w:name="_Toc16460"/>
      <w:r>
        <w:rPr>
          <w:rFonts w:hint="default" w:ascii="Times New Roman" w:hAnsi="Times New Roman" w:cs="Times New Roman"/>
          <w:color w:val="000000" w:themeColor="text1"/>
          <w:lang w:val="en-US" w:eastAsia="zh-CN"/>
          <w14:textFill>
            <w14:solidFill>
              <w14:schemeClr w14:val="tx1"/>
            </w14:solidFill>
          </w14:textFill>
        </w:rPr>
        <w:t>（二）新型烟草迅速扩张</w:t>
      </w:r>
      <w:bookmarkEnd w:id="9"/>
    </w:p>
    <w:p>
      <w:pP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t>自2003年《中国卷烟科技发展纲要》发布以来，中国卷烟的发展方向一直以中式卷烟为主。中国烟草产品98%以上销往国内市场。但随着电子烟和加热不燃烧烟草制品等新兴烟草产品的兴起，将可能带来烟草行业的第三次重大变革。一方面，新型烟草市场规模不断扩大，给中式卷烟带来了较大冲击。据欧睿国际统计数据显示，全球新型烟草市场规模以46%的年复合增长率从2013年的42亿美元迅速增加至2018年的277亿美元，约占全球烟草市场的3%；且预期将以年复合增长率25%进一步增长至2023</w:t>
      </w:r>
      <w:r>
        <w:rPr>
          <w:rFonts w:hint="default" w:ascii="Times New Roman" w:hAnsi="Times New Roman" w:cs="Times New Roman"/>
          <w:color w:val="auto"/>
          <w:kern w:val="2"/>
          <w:sz w:val="32"/>
          <w:szCs w:val="32"/>
          <w:lang w:val="en-US" w:eastAsia="zh-CN" w:bidi="ar-SA"/>
        </w:rPr>
        <w:t>年的840亿美元。据国家烟草专卖局烟草经济研究所发布的《2020年世界烟草发展报告》，2020年全球加热卷烟销量169.7万箱，</w:t>
      </w:r>
      <w:r>
        <w:rPr>
          <w:rFonts w:hint="eastAsia" w:cs="Times New Roman"/>
          <w:color w:val="auto"/>
          <w:kern w:val="2"/>
          <w:sz w:val="32"/>
          <w:szCs w:val="32"/>
          <w:lang w:val="en-US" w:eastAsia="zh-CN" w:bidi="ar-SA"/>
        </w:rPr>
        <w:t>同比</w:t>
      </w:r>
      <w:r>
        <w:rPr>
          <w:rFonts w:hint="default" w:ascii="Times New Roman" w:hAnsi="Times New Roman" w:cs="Times New Roman"/>
          <w:color w:val="auto"/>
          <w:kern w:val="2"/>
          <w:sz w:val="32"/>
          <w:szCs w:val="32"/>
          <w:lang w:val="en-US" w:eastAsia="zh-CN" w:bidi="ar-SA"/>
        </w:rPr>
        <w:t>增长19.2%，实现销售额1155亿元人民币，</w:t>
      </w:r>
      <w:r>
        <w:rPr>
          <w:rFonts w:hint="eastAsia" w:cs="Times New Roman"/>
          <w:color w:val="auto"/>
          <w:kern w:val="2"/>
          <w:sz w:val="32"/>
          <w:szCs w:val="32"/>
          <w:lang w:val="en-US" w:eastAsia="zh-CN" w:bidi="ar-SA"/>
        </w:rPr>
        <w:t>同比</w:t>
      </w:r>
      <w:r>
        <w:rPr>
          <w:rFonts w:hint="default" w:ascii="Times New Roman" w:hAnsi="Times New Roman" w:cs="Times New Roman"/>
          <w:color w:val="auto"/>
          <w:kern w:val="2"/>
          <w:sz w:val="32"/>
          <w:szCs w:val="32"/>
          <w:lang w:val="en-US" w:eastAsia="zh-CN" w:bidi="ar-SA"/>
        </w:rPr>
        <w:t>增长15.8%。传统烟草国际巨头菲莫国际2020年卷烟出货量下降11.1%，新型烟草出货量增长27.6%，营收增长15.3%，加热卷烟收入贡献达到23.8%。另一方面，国家市场监督管理总局、国家烟草专卖局发布</w:t>
      </w:r>
      <w: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t>的相关政策，在一定程度上限制了国内电子烟的发展，为中式卷烟赢得部分发展空间。如果政策法规的设立上可以平衡政府/烟草公司/烟民三方的利益诉求，中长期新型烟草有望逐步实现对传统烟草产品的延伸和替代，若不提前布局，将可能在新型烟草市场放开后，在日趋激烈的竞争中逐渐被挤压，甚至被淘汰。</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10" w:name="_Toc8652"/>
      <w:r>
        <w:rPr>
          <w:rFonts w:hint="default" w:ascii="Times New Roman" w:hAnsi="Times New Roman" w:cs="Times New Roman"/>
          <w:color w:val="000000" w:themeColor="text1"/>
          <w:lang w:val="en-US" w:eastAsia="zh-CN"/>
          <w14:textFill>
            <w14:solidFill>
              <w14:schemeClr w14:val="tx1"/>
            </w14:solidFill>
          </w14:textFill>
        </w:rPr>
        <w:t>（三）消费结构变化</w:t>
      </w:r>
      <w:bookmarkEnd w:id="10"/>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随着烟草企业寻求并购机会以保持市场地位并提高其盈利能力，烟草行业品牌集中度将进一步提升。大品牌价值效应所形成的价格护城河将推动其市场份额的增加，未来可能只有几个或者十几个卷烟品牌得到消费者的认可，小品牌终将成为展示架上的陪衬所在。从全国来看，</w:t>
      </w:r>
      <w: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t>继2017年首次突破千万箱以来，一类烟保持了不低于6%的持续增长，市场份额在2019年已经超过1/4，并且提供了超过半数以上的收入贡献。简单说，就是一类烟=1/4销量+1/2收入。从百万箱一类烟品牌到百万箱一类烟品规，以“芙蓉王”、“玉溪”、“中华”、“黄鹤楼”、“利群”等为代表的强势品牌在做大市场中，也实现了自身的加速成长。2020年行业一、二类烟比重超过50%，四、五类烟比重低于5%。随着人均可支配收入及人民生活水平的逐步提升，卷烟行业向高端化、年轻化迈进的趋势愈发明显，县域市场也越来越强烈地呈现出个性化、多样化的消费特征。鉴</w:t>
      </w:r>
      <w:r>
        <w:rPr>
          <w:rFonts w:hint="default" w:ascii="Times New Roman" w:hAnsi="Times New Roman" w:cs="Times New Roman"/>
          <w:color w:val="000000" w:themeColor="text1"/>
          <w:lang w:val="en-US" w:eastAsia="zh-CN"/>
          <w14:textFill>
            <w14:solidFill>
              <w14:schemeClr w14:val="tx1"/>
            </w14:solidFill>
          </w14:textFill>
        </w:rPr>
        <w:t>于对高档烟需求的逐步增长和品牌的不断集中，卷烟业需努力做好“卷烟上水平”这篇大文章，深耕细作县域市场，促进品牌卷烟结构不断优化、档次持续提升。</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11" w:name="_Toc19472"/>
      <w:r>
        <w:rPr>
          <w:rFonts w:hint="default" w:ascii="Times New Roman" w:hAnsi="Times New Roman" w:cs="Times New Roman"/>
          <w:color w:val="000000" w:themeColor="text1"/>
          <w:lang w:val="en-US" w:eastAsia="zh-CN"/>
          <w14:textFill>
            <w14:solidFill>
              <w14:schemeClr w14:val="tx1"/>
            </w14:solidFill>
          </w14:textFill>
        </w:rPr>
        <w:t>（四）配套产业倒逼效应显现</w:t>
      </w:r>
      <w:bookmarkEnd w:id="11"/>
    </w:p>
    <w:p>
      <w:pP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t>随着卷烟业顶板效应显现，部分配套企业</w:t>
      </w:r>
      <w:r>
        <w:rPr>
          <w:rFonts w:hint="default" w:ascii="Times New Roman" w:hAnsi="Times New Roman" w:cs="Times New Roman"/>
          <w:color w:val="000000" w:themeColor="text1"/>
          <w:lang w:val="en-US" w:eastAsia="zh-CN"/>
          <w14:textFill>
            <w14:solidFill>
              <w14:schemeClr w14:val="tx1"/>
            </w14:solidFill>
          </w14:textFill>
        </w:rPr>
        <w:t>面对日趋突出的配套份缩减，经营利润下降，且对主业依赖度偏高，改造提升投入巨大的矛盾，转型升级积极性不高，竞争力减弱，</w:t>
      </w:r>
      <w: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t>生存发展日趋艰难。加之省外地方保护主义、云南中烟招投标政策变化，进一步压缩了配套企业生存空间。</w:t>
      </w:r>
      <w:r>
        <w:rPr>
          <w:rFonts w:hint="default" w:ascii="Times New Roman" w:hAnsi="Times New Roman" w:cs="Times New Roman"/>
          <w:color w:val="000000" w:themeColor="text1"/>
          <w:lang w:val="en-US" w:eastAsia="zh-CN"/>
          <w14:textFill>
            <w14:solidFill>
              <w14:schemeClr w14:val="tx1"/>
            </w14:solidFill>
          </w14:textFill>
        </w:rPr>
        <w:t>卷烟主业发展变化带来的影响，势必推动配套企业加快转型升级步伐，</w:t>
      </w:r>
      <w: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t>迫使相对弱势企业向大企业、大品牌靠拢，</w:t>
      </w:r>
      <w:r>
        <w:rPr>
          <w:rFonts w:hint="default" w:ascii="Times New Roman" w:hAnsi="Times New Roman" w:cs="Times New Roman"/>
          <w:color w:val="000000" w:themeColor="text1"/>
          <w:lang w:val="en-US" w:eastAsia="zh-CN"/>
          <w14:textFill>
            <w14:solidFill>
              <w14:schemeClr w14:val="tx1"/>
            </w14:solidFill>
          </w14:textFill>
        </w:rPr>
        <w:t>加速配套行业整合重组，迫使配套企业</w:t>
      </w:r>
      <w:r>
        <w:rPr>
          <w:rFonts w:hint="default" w:ascii="Times New Roman" w:hAnsi="Times New Roman" w:cs="Times New Roman"/>
          <w:color w:val="000000" w:themeColor="text1"/>
          <w:lang w:eastAsia="zh-CN"/>
          <w14:textFill>
            <w14:solidFill>
              <w14:schemeClr w14:val="tx1"/>
            </w14:solidFill>
          </w14:textFill>
        </w:rPr>
        <w:t>加强研发投入、加快生产工艺和产品创新、强化主动配套，</w:t>
      </w:r>
      <w:r>
        <w:rPr>
          <w:rFonts w:hint="default" w:ascii="Times New Roman" w:hAnsi="Times New Roman" w:cs="Times New Roman"/>
          <w:color w:val="000000" w:themeColor="text1"/>
          <w:lang w:val="en-US" w:eastAsia="zh-CN"/>
          <w14:textFill>
            <w14:solidFill>
              <w14:schemeClr w14:val="tx1"/>
            </w14:solidFill>
          </w14:textFill>
        </w:rPr>
        <w:t>迫使配套企业加快向非烟领域拓展市场需求，</w:t>
      </w:r>
      <w:r>
        <w:rPr>
          <w:rFonts w:hint="default" w:ascii="Times New Roman" w:hAnsi="Times New Roman" w:cs="Times New Roman"/>
          <w:color w:val="000000" w:themeColor="text1"/>
          <w:lang w:eastAsia="zh-CN"/>
          <w14:textFill>
            <w14:solidFill>
              <w14:schemeClr w14:val="tx1"/>
            </w14:solidFill>
          </w14:textFill>
        </w:rPr>
        <w:t>方能</w:t>
      </w:r>
      <w:r>
        <w:rPr>
          <w:rFonts w:hint="default" w:ascii="Times New Roman" w:hAnsi="Times New Roman" w:cs="Times New Roman"/>
          <w:color w:val="000000" w:themeColor="text1"/>
          <w:lang w:val="en-US" w:eastAsia="zh-CN"/>
          <w14:textFill>
            <w14:solidFill>
              <w14:schemeClr w14:val="tx1"/>
            </w14:solidFill>
          </w14:textFill>
        </w:rPr>
        <w:t>在</w:t>
      </w:r>
      <w:r>
        <w:rPr>
          <w:rFonts w:hint="default" w:ascii="Times New Roman" w:hAnsi="Times New Roman" w:cs="Times New Roman"/>
          <w:color w:val="000000" w:themeColor="text1"/>
          <w:lang w:eastAsia="zh-CN"/>
          <w14:textFill>
            <w14:solidFill>
              <w14:schemeClr w14:val="tx1"/>
            </w14:solidFill>
          </w14:textFill>
        </w:rPr>
        <w:t>日新月异的市场潮流中</w:t>
      </w:r>
      <w:r>
        <w:rPr>
          <w:rFonts w:hint="default" w:ascii="Times New Roman" w:hAnsi="Times New Roman" w:cs="Times New Roman"/>
          <w:color w:val="000000" w:themeColor="text1"/>
          <w:lang w:val="en-US" w:eastAsia="zh-CN"/>
          <w14:textFill>
            <w14:solidFill>
              <w14:schemeClr w14:val="tx1"/>
            </w14:solidFill>
          </w14:textFill>
        </w:rPr>
        <w:t>生存发展。</w:t>
      </w:r>
    </w:p>
    <w:p>
      <w:pPr>
        <w:pStyle w:val="3"/>
        <w:bidi w:val="0"/>
        <w:rPr>
          <w:rFonts w:hint="default" w:ascii="Times New Roman" w:hAnsi="Times New Roman" w:cs="Times New Roman"/>
          <w:color w:val="000000" w:themeColor="text1"/>
          <w:lang w:eastAsia="zh-CN"/>
          <w14:textFill>
            <w14:solidFill>
              <w14:schemeClr w14:val="tx1"/>
            </w14:solidFill>
          </w14:textFill>
        </w:rPr>
      </w:pPr>
      <w:bookmarkStart w:id="12" w:name="_Toc24876"/>
      <w:r>
        <w:rPr>
          <w:rFonts w:hint="default" w:ascii="Times New Roman" w:hAnsi="Times New Roman" w:cs="Times New Roman"/>
          <w:color w:val="000000" w:themeColor="text1"/>
          <w:lang w:val="en-US" w:eastAsia="zh-CN"/>
          <w14:textFill>
            <w14:solidFill>
              <w14:schemeClr w14:val="tx1"/>
            </w14:solidFill>
          </w14:textFill>
        </w:rPr>
        <w:t>三、“十四五”发展</w:t>
      </w:r>
      <w:r>
        <w:rPr>
          <w:rFonts w:hint="default" w:ascii="Times New Roman" w:hAnsi="Times New Roman" w:cs="Times New Roman"/>
          <w:color w:val="000000" w:themeColor="text1"/>
          <w:lang w:eastAsia="zh-CN"/>
          <w14:textFill>
            <w14:solidFill>
              <w14:schemeClr w14:val="tx1"/>
            </w14:solidFill>
          </w14:textFill>
        </w:rPr>
        <w:t>思路及目标</w:t>
      </w:r>
      <w:bookmarkEnd w:id="12"/>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13" w:name="_Toc9612"/>
      <w:r>
        <w:rPr>
          <w:rFonts w:hint="default" w:ascii="Times New Roman" w:hAnsi="Times New Roman" w:cs="Times New Roman"/>
          <w:color w:val="000000" w:themeColor="text1"/>
          <w:lang w:val="en-US" w:eastAsia="zh-CN"/>
          <w14:textFill>
            <w14:solidFill>
              <w14:schemeClr w14:val="tx1"/>
            </w14:solidFill>
          </w14:textFill>
        </w:rPr>
        <w:t>（一）发展思路</w:t>
      </w:r>
      <w:bookmarkEnd w:id="13"/>
    </w:p>
    <w:p>
      <w:pPr>
        <w:rPr>
          <w:rFonts w:hint="default" w:ascii="Times New Roman" w:hAnsi="Times New Roman" w:cs="Times New Roman"/>
          <w:color w:val="auto"/>
          <w:kern w:val="2"/>
          <w:sz w:val="32"/>
          <w:szCs w:val="32"/>
          <w:lang w:val="en-US" w:eastAsia="zh-CN" w:bidi="ar-SA"/>
        </w:rPr>
      </w:pPr>
      <w: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t>全面贯彻党的十九大和十九届二中、三中、四中、五中全会</w:t>
      </w:r>
      <w:r>
        <w:rPr>
          <w:rFonts w:hint="default" w:ascii="Times New Roman" w:hAnsi="Times New Roman" w:cs="Times New Roman"/>
          <w:color w:val="auto"/>
          <w:kern w:val="2"/>
          <w:sz w:val="32"/>
          <w:szCs w:val="32"/>
          <w:lang w:val="en-US" w:eastAsia="zh-CN" w:bidi="ar-SA"/>
        </w:rPr>
        <w:t>精神和习近平新时代中国特色社会主义思想，</w:t>
      </w:r>
      <w:r>
        <w:rPr>
          <w:rFonts w:hint="default" w:ascii="Times New Roman" w:hAnsi="Times New Roman" w:eastAsia="仿宋_GB2312" w:cs="Times New Roman"/>
          <w:b w:val="0"/>
          <w:bCs w:val="0"/>
          <w:color w:val="auto"/>
          <w:kern w:val="2"/>
          <w:sz w:val="32"/>
          <w:szCs w:val="32"/>
          <w:lang w:val="en-US" w:eastAsia="zh-CN" w:bidi="ar-SA"/>
        </w:rPr>
        <w:t>按照</w:t>
      </w:r>
      <w:r>
        <w:rPr>
          <w:rFonts w:hint="default" w:ascii="Times New Roman" w:hAnsi="Times New Roman" w:eastAsia="仿宋_GB2312" w:cs="Times New Roman"/>
          <w:b w:val="0"/>
          <w:bCs w:val="0"/>
          <w:color w:val="auto"/>
          <w:sz w:val="32"/>
          <w:szCs w:val="32"/>
        </w:rPr>
        <w:t>省委</w:t>
      </w:r>
      <w:r>
        <w:rPr>
          <w:rFonts w:hint="default" w:ascii="Times New Roman" w:hAnsi="Times New Roman" w:eastAsia="仿宋_GB2312" w:cs="Times New Roman"/>
          <w:b w:val="0"/>
          <w:bCs w:val="0"/>
          <w:color w:val="auto"/>
          <w:sz w:val="32"/>
          <w:szCs w:val="32"/>
          <w:lang w:eastAsia="zh-CN"/>
        </w:rPr>
        <w:t>省政府玉溪现场办公会精神要求，拿出玉溪老一辈领导干部抓烟草工业的气魄和胆识，</w:t>
      </w:r>
      <w:r>
        <w:rPr>
          <w:rFonts w:eastAsia="方正仿宋_GBK"/>
          <w:bCs/>
          <w:color w:val="auto"/>
          <w:sz w:val="32"/>
          <w:szCs w:val="32"/>
        </w:rPr>
        <w:t>全产业链重塑</w:t>
      </w:r>
      <w:r>
        <w:rPr>
          <w:rFonts w:hint="eastAsia" w:eastAsia="方正仿宋_GBK"/>
          <w:bCs/>
          <w:color w:val="auto"/>
          <w:sz w:val="32"/>
          <w:szCs w:val="32"/>
          <w:lang w:eastAsia="zh-CN"/>
        </w:rPr>
        <w:t>玉溪卷</w:t>
      </w:r>
      <w:r>
        <w:rPr>
          <w:rFonts w:eastAsia="方正仿宋_GBK"/>
          <w:bCs/>
          <w:color w:val="auto"/>
          <w:sz w:val="32"/>
          <w:szCs w:val="32"/>
        </w:rPr>
        <w:t>烟</w:t>
      </w:r>
      <w:r>
        <w:rPr>
          <w:rFonts w:hint="eastAsia" w:eastAsia="方正仿宋_GBK"/>
          <w:bCs/>
          <w:color w:val="auto"/>
          <w:sz w:val="32"/>
          <w:szCs w:val="32"/>
          <w:lang w:eastAsia="zh-CN"/>
        </w:rPr>
        <w:t>工业</w:t>
      </w:r>
      <w:r>
        <w:rPr>
          <w:rFonts w:eastAsia="方正仿宋_GBK"/>
          <w:bCs/>
          <w:color w:val="auto"/>
          <w:sz w:val="32"/>
          <w:szCs w:val="32"/>
        </w:rPr>
        <w:t>新优势，</w:t>
      </w:r>
      <w:r>
        <w:rPr>
          <w:rFonts w:hint="eastAsia" w:eastAsia="方正仿宋_GBK"/>
          <w:bCs/>
          <w:color w:val="auto"/>
          <w:sz w:val="32"/>
          <w:szCs w:val="32"/>
          <w:lang w:eastAsia="zh-CN"/>
        </w:rPr>
        <w:t>推动</w:t>
      </w:r>
      <w:r>
        <w:rPr>
          <w:rFonts w:hint="eastAsia" w:eastAsia="方正仿宋_GBK"/>
          <w:bCs/>
          <w:color w:val="auto"/>
          <w:sz w:val="32"/>
          <w:szCs w:val="32"/>
        </w:rPr>
        <w:t>传统烟草优化升级、新型烟草抢占先机、配套产业</w:t>
      </w:r>
      <w:r>
        <w:rPr>
          <w:rFonts w:eastAsia="方正仿宋_GBK"/>
          <w:bCs/>
          <w:color w:val="auto"/>
          <w:sz w:val="32"/>
          <w:szCs w:val="32"/>
        </w:rPr>
        <w:t>“二次创业”</w:t>
      </w:r>
      <w:r>
        <w:rPr>
          <w:rFonts w:hint="eastAsia" w:eastAsia="方正仿宋_GBK"/>
          <w:bCs/>
          <w:color w:val="auto"/>
          <w:sz w:val="32"/>
          <w:szCs w:val="32"/>
          <w:lang w:eastAsia="zh-CN"/>
        </w:rPr>
        <w:t>、</w:t>
      </w:r>
      <w:r>
        <w:rPr>
          <w:rFonts w:hint="eastAsia" w:eastAsia="方正仿宋_GBK"/>
          <w:bCs/>
          <w:color w:val="auto"/>
          <w:sz w:val="32"/>
          <w:szCs w:val="32"/>
        </w:rPr>
        <w:t>全产业链条数字化发展，</w:t>
      </w:r>
      <w:r>
        <w:rPr>
          <w:rFonts w:eastAsia="方正仿宋_GBK"/>
          <w:bCs/>
          <w:color w:val="auto"/>
          <w:sz w:val="32"/>
          <w:szCs w:val="32"/>
        </w:rPr>
        <w:t>坚定实施“大品牌、大市场、大企业”战略</w:t>
      </w:r>
      <w:r>
        <w:rPr>
          <w:rFonts w:hint="eastAsia" w:eastAsia="方正仿宋_GBK"/>
          <w:bCs/>
          <w:color w:val="auto"/>
          <w:sz w:val="32"/>
          <w:szCs w:val="32"/>
          <w:lang w:eastAsia="zh-CN"/>
        </w:rPr>
        <w:t>，全力以赴打造玉溪烟草产业升级版，</w:t>
      </w:r>
      <w:r>
        <w:rPr>
          <w:rFonts w:eastAsia="方正仿宋_GBK"/>
          <w:bCs/>
          <w:color w:val="auto"/>
          <w:sz w:val="32"/>
          <w:szCs w:val="32"/>
        </w:rPr>
        <w:t>打造全国烟草</w:t>
      </w:r>
      <w:r>
        <w:rPr>
          <w:rFonts w:hint="default" w:ascii="Times New Roman" w:hAnsi="Times New Roman" w:eastAsia="仿宋_GB2312" w:cs="Times New Roman"/>
          <w:b w:val="0"/>
          <w:bCs w:val="0"/>
          <w:color w:val="auto"/>
          <w:sz w:val="32"/>
          <w:szCs w:val="32"/>
          <w:lang w:eastAsia="zh-CN"/>
        </w:rPr>
        <w:t>最优“第一车间”</w:t>
      </w:r>
      <w:r>
        <w:rPr>
          <w:rFonts w:hint="eastAsia"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将玉溪打造成为国内最大的烟草配套产业基地和卷烟辅料交易中心</w:t>
      </w:r>
      <w:r>
        <w:rPr>
          <w:rFonts w:hint="eastAsia" w:ascii="Times New Roman" w:hAnsi="Times New Roman" w:eastAsia="仿宋_GB2312" w:cs="Times New Roman"/>
          <w:b w:val="0"/>
          <w:bCs w:val="0"/>
          <w:color w:val="auto"/>
          <w:sz w:val="32"/>
          <w:szCs w:val="32"/>
          <w:lang w:val="en-US" w:eastAsia="zh-CN"/>
        </w:rPr>
        <w:t>，</w:t>
      </w:r>
      <w:r>
        <w:rPr>
          <w:rFonts w:hint="eastAsia" w:ascii="Times New Roman" w:hAnsi="Times New Roman" w:eastAsia="仿宋_GB2312" w:cs="Times New Roman"/>
          <w:b w:val="0"/>
          <w:bCs w:val="0"/>
          <w:color w:val="auto"/>
          <w:sz w:val="32"/>
          <w:szCs w:val="32"/>
          <w:lang w:eastAsia="zh-CN"/>
        </w:rPr>
        <w:t>不断巩固和提升玉溪烟草产业在国内外的地位和影响力。</w:t>
      </w:r>
    </w:p>
    <w:p>
      <w:pPr>
        <w:pStyle w:val="2"/>
        <w:bidi w:val="0"/>
        <w:rPr>
          <w:rFonts w:hint="default" w:ascii="Times New Roman" w:hAnsi="Times New Roman" w:cs="Times New Roman"/>
          <w:color w:val="auto"/>
          <w:lang w:val="en-US" w:eastAsia="zh-CN"/>
        </w:rPr>
      </w:pPr>
      <w:bookmarkStart w:id="14" w:name="_Toc20222"/>
      <w:r>
        <w:rPr>
          <w:rFonts w:hint="default" w:ascii="Times New Roman" w:hAnsi="Times New Roman" w:cs="Times New Roman"/>
          <w:color w:val="auto"/>
          <w:lang w:val="en-US" w:eastAsia="zh-CN"/>
        </w:rPr>
        <w:t>（二）发展目标</w:t>
      </w:r>
      <w:bookmarkEnd w:id="14"/>
    </w:p>
    <w:p>
      <w:pPr>
        <w:rPr>
          <w:rFonts w:hint="default" w:ascii="Times New Roman" w:hAnsi="Times New Roman" w:cs="Times New Roman"/>
          <w:color w:val="auto"/>
          <w:kern w:val="2"/>
          <w:sz w:val="32"/>
          <w:szCs w:val="32"/>
          <w:lang w:val="en-US" w:eastAsia="zh-CN" w:bidi="ar-SA"/>
        </w:rPr>
      </w:pPr>
      <w:r>
        <w:rPr>
          <w:rFonts w:hint="default" w:ascii="Times New Roman" w:hAnsi="Times New Roman" w:cs="Times New Roman"/>
          <w:color w:val="auto"/>
          <w:kern w:val="2"/>
          <w:sz w:val="32"/>
          <w:szCs w:val="32"/>
          <w:lang w:val="en-US" w:eastAsia="zh-CN" w:bidi="ar-SA"/>
        </w:rPr>
        <w:t>到2025年，卷烟及配套产业实现工业总产值1000亿元，年均增长12.9%；实现工业增加值</w:t>
      </w:r>
      <w:r>
        <w:rPr>
          <w:rFonts w:hint="eastAsia" w:cs="Times New Roman"/>
          <w:color w:val="auto"/>
          <w:kern w:val="2"/>
          <w:sz w:val="32"/>
          <w:szCs w:val="32"/>
          <w:lang w:val="en-US" w:eastAsia="zh-CN" w:bidi="ar-SA"/>
        </w:rPr>
        <w:t>700</w:t>
      </w:r>
      <w:r>
        <w:rPr>
          <w:rFonts w:hint="default" w:ascii="Times New Roman" w:hAnsi="Times New Roman" w:cs="Times New Roman"/>
          <w:color w:val="auto"/>
          <w:kern w:val="2"/>
          <w:sz w:val="32"/>
          <w:szCs w:val="32"/>
          <w:lang w:val="en-US" w:eastAsia="zh-CN" w:bidi="ar-SA"/>
        </w:rPr>
        <w:t>亿元，年均增长</w:t>
      </w:r>
      <w:r>
        <w:rPr>
          <w:rFonts w:hint="eastAsia" w:cs="Times New Roman"/>
          <w:color w:val="auto"/>
          <w:kern w:val="2"/>
          <w:sz w:val="32"/>
          <w:szCs w:val="32"/>
          <w:lang w:val="en-US" w:eastAsia="zh-CN" w:bidi="ar-SA"/>
        </w:rPr>
        <w:t>11.5</w:t>
      </w:r>
      <w:r>
        <w:rPr>
          <w:rFonts w:hint="default" w:ascii="Times New Roman" w:hAnsi="Times New Roman" w:cs="Times New Roman"/>
          <w:color w:val="auto"/>
          <w:kern w:val="2"/>
          <w:sz w:val="32"/>
          <w:szCs w:val="32"/>
          <w:lang w:val="en-US" w:eastAsia="zh-CN" w:bidi="ar-SA"/>
        </w:rPr>
        <w:t>%。</w:t>
      </w:r>
    </w:p>
    <w:p>
      <w:pPr>
        <w:rPr>
          <w:rFonts w:hint="default" w:ascii="Times New Roman" w:hAnsi="Times New Roman" w:cs="Times New Roman"/>
          <w:color w:val="auto"/>
          <w:kern w:val="2"/>
          <w:sz w:val="32"/>
          <w:szCs w:val="32"/>
          <w:lang w:val="en-US" w:eastAsia="zh-CN" w:bidi="ar-SA"/>
        </w:rPr>
      </w:pPr>
      <w:r>
        <w:rPr>
          <w:rFonts w:hint="eastAsia" w:cs="Times New Roman"/>
          <w:color w:val="auto"/>
          <w:kern w:val="2"/>
          <w:sz w:val="32"/>
          <w:szCs w:val="32"/>
          <w:lang w:val="en-US" w:eastAsia="zh-CN" w:bidi="ar-SA"/>
        </w:rPr>
        <w:t>——</w:t>
      </w:r>
      <w:r>
        <w:rPr>
          <w:rFonts w:hint="default" w:ascii="Times New Roman" w:hAnsi="Times New Roman" w:cs="Times New Roman"/>
          <w:color w:val="auto"/>
          <w:kern w:val="2"/>
          <w:sz w:val="32"/>
          <w:szCs w:val="32"/>
          <w:lang w:val="en-US" w:eastAsia="zh-CN" w:bidi="ar-SA"/>
        </w:rPr>
        <w:t>卷烟业实现工业总产值68</w:t>
      </w:r>
      <w:r>
        <w:rPr>
          <w:rFonts w:hint="eastAsia" w:cs="Times New Roman"/>
          <w:color w:val="auto"/>
          <w:kern w:val="2"/>
          <w:sz w:val="32"/>
          <w:szCs w:val="32"/>
          <w:lang w:val="en-US" w:eastAsia="zh-CN" w:bidi="ar-SA"/>
        </w:rPr>
        <w:t>0</w:t>
      </w:r>
      <w:r>
        <w:rPr>
          <w:rFonts w:hint="default" w:ascii="Times New Roman" w:hAnsi="Times New Roman" w:cs="Times New Roman"/>
          <w:color w:val="auto"/>
          <w:kern w:val="2"/>
          <w:sz w:val="32"/>
          <w:szCs w:val="32"/>
          <w:lang w:val="en-US" w:eastAsia="zh-CN" w:bidi="ar-SA"/>
        </w:rPr>
        <w:t>亿元，年均增长5.</w:t>
      </w:r>
      <w:r>
        <w:rPr>
          <w:rFonts w:hint="eastAsia" w:cs="Times New Roman"/>
          <w:color w:val="auto"/>
          <w:kern w:val="2"/>
          <w:sz w:val="32"/>
          <w:szCs w:val="32"/>
          <w:lang w:val="en-US" w:eastAsia="zh-CN" w:bidi="ar-SA"/>
        </w:rPr>
        <w:t>8</w:t>
      </w:r>
      <w:r>
        <w:rPr>
          <w:rFonts w:hint="default" w:ascii="Times New Roman" w:hAnsi="Times New Roman" w:cs="Times New Roman"/>
          <w:color w:val="auto"/>
          <w:kern w:val="2"/>
          <w:sz w:val="32"/>
          <w:szCs w:val="32"/>
          <w:lang w:val="en-US" w:eastAsia="zh-CN" w:bidi="ar-SA"/>
        </w:rPr>
        <w:t>%，实现工业增加值546.5亿元，年均增长6.5%，在国内外市场占有率进一步提升</w:t>
      </w:r>
      <w:r>
        <w:rPr>
          <w:rFonts w:hint="eastAsia" w:cs="Times New Roman"/>
          <w:color w:val="auto"/>
          <w:kern w:val="2"/>
          <w:sz w:val="32"/>
          <w:szCs w:val="32"/>
          <w:lang w:val="en-US" w:eastAsia="zh-CN" w:bidi="ar-SA"/>
        </w:rPr>
        <w:t>（</w:t>
      </w:r>
      <w:r>
        <w:rPr>
          <w:rFonts w:hint="default" w:ascii="Times New Roman" w:hAnsi="Times New Roman" w:cs="Times New Roman"/>
          <w:color w:val="auto"/>
          <w:lang w:val="en-US" w:eastAsia="zh-CN"/>
        </w:rPr>
        <w:t>详见附表2</w:t>
      </w:r>
      <w:r>
        <w:rPr>
          <w:rFonts w:hint="eastAsia" w:cs="Times New Roman"/>
          <w:color w:val="auto"/>
          <w:kern w:val="2"/>
          <w:sz w:val="32"/>
          <w:szCs w:val="32"/>
          <w:lang w:val="en-US" w:eastAsia="zh-CN" w:bidi="ar-SA"/>
        </w:rPr>
        <w:t>）</w:t>
      </w:r>
      <w:r>
        <w:rPr>
          <w:rFonts w:hint="default" w:ascii="Times New Roman" w:hAnsi="Times New Roman" w:cs="Times New Roman"/>
          <w:color w:val="auto"/>
          <w:kern w:val="2"/>
          <w:sz w:val="32"/>
          <w:szCs w:val="32"/>
          <w:lang w:val="en-US" w:eastAsia="zh-CN" w:bidi="ar-SA"/>
        </w:rPr>
        <w:t>。卷烟产业产品结构进一步优化，单箱批发销售额与全国单箱批发销售额逐渐缩小，“二类烟”达到6%，“三类烟”销售占比显著降低，达到45%。确保“玉溪”品牌在行业一类烟规模中“稳二争一”，“红塔山”品牌跻身二类烟市场规模前五名。</w:t>
      </w:r>
    </w:p>
    <w:p>
      <w:pPr>
        <w:rPr>
          <w:rFonts w:hint="default" w:ascii="Times New Roman" w:hAnsi="Times New Roman" w:cs="Times New Roman"/>
          <w:color w:val="auto"/>
          <w:kern w:val="2"/>
          <w:sz w:val="32"/>
          <w:szCs w:val="32"/>
          <w:lang w:val="en-US" w:eastAsia="zh-CN" w:bidi="ar-SA"/>
        </w:rPr>
      </w:pPr>
      <w:r>
        <w:rPr>
          <w:rFonts w:hint="eastAsia" w:cs="Times New Roman"/>
          <w:color w:val="auto"/>
          <w:kern w:val="2"/>
          <w:sz w:val="32"/>
          <w:szCs w:val="32"/>
          <w:lang w:val="en-US" w:eastAsia="zh-CN" w:bidi="ar-SA"/>
        </w:rPr>
        <w:t>——</w:t>
      </w:r>
      <w:r>
        <w:rPr>
          <w:rFonts w:hint="default" w:ascii="Times New Roman" w:hAnsi="Times New Roman" w:cs="Times New Roman"/>
          <w:color w:val="auto"/>
          <w:kern w:val="2"/>
          <w:sz w:val="32"/>
          <w:szCs w:val="32"/>
          <w:lang w:val="en-US" w:eastAsia="zh-CN" w:bidi="ar-SA"/>
        </w:rPr>
        <w:t>争做新型烟草的开拓者、引领者，</w:t>
      </w:r>
      <w:r>
        <w:rPr>
          <w:rFonts w:hint="eastAsia" w:cs="Times New Roman"/>
          <w:color w:val="auto"/>
          <w:kern w:val="2"/>
          <w:sz w:val="32"/>
          <w:szCs w:val="32"/>
          <w:lang w:val="en-US" w:eastAsia="zh-CN" w:bidi="ar-SA"/>
        </w:rPr>
        <w:t>2025年</w:t>
      </w:r>
      <w:r>
        <w:rPr>
          <w:rFonts w:hint="default" w:ascii="Times New Roman" w:hAnsi="Times New Roman" w:cs="Times New Roman"/>
          <w:color w:val="auto"/>
          <w:kern w:val="2"/>
          <w:sz w:val="32"/>
          <w:szCs w:val="32"/>
          <w:lang w:val="en-US" w:eastAsia="zh-CN" w:bidi="ar-SA"/>
        </w:rPr>
        <w:t>新型烟草产业实现产值220亿元。</w:t>
      </w:r>
    </w:p>
    <w:p>
      <w:pPr>
        <w:rPr>
          <w:rFonts w:hint="default" w:ascii="Times New Roman" w:hAnsi="Times New Roman" w:cs="Times New Roman"/>
          <w:color w:val="auto"/>
          <w:kern w:val="2"/>
          <w:sz w:val="32"/>
          <w:szCs w:val="32"/>
          <w:lang w:val="en-US" w:eastAsia="zh-CN" w:bidi="ar-SA"/>
        </w:rPr>
      </w:pPr>
      <w:r>
        <w:rPr>
          <w:rFonts w:hint="eastAsia" w:cs="Times New Roman"/>
          <w:color w:val="auto"/>
          <w:kern w:val="2"/>
          <w:sz w:val="32"/>
          <w:szCs w:val="32"/>
          <w:lang w:val="en-US" w:eastAsia="zh-CN" w:bidi="ar-SA"/>
        </w:rPr>
        <w:t>——</w:t>
      </w:r>
      <w:r>
        <w:rPr>
          <w:rFonts w:hint="default" w:ascii="Times New Roman" w:hAnsi="Times New Roman" w:cs="Times New Roman"/>
          <w:color w:val="auto"/>
          <w:kern w:val="2"/>
          <w:sz w:val="32"/>
          <w:szCs w:val="32"/>
          <w:lang w:val="en-US" w:eastAsia="zh-CN" w:bidi="ar-SA"/>
        </w:rPr>
        <w:t>推动卷烟配套企业“二次创业”、转型发展，卷烟配套产业实现工业产值100亿元，年均增长2</w:t>
      </w:r>
      <w:r>
        <w:rPr>
          <w:rFonts w:hint="eastAsia" w:cs="Times New Roman"/>
          <w:color w:val="auto"/>
          <w:kern w:val="2"/>
          <w:sz w:val="32"/>
          <w:szCs w:val="32"/>
          <w:lang w:val="en-US" w:eastAsia="zh-CN" w:bidi="ar-SA"/>
        </w:rPr>
        <w:t>6.8</w:t>
      </w:r>
      <w:r>
        <w:rPr>
          <w:rFonts w:hint="default" w:ascii="Times New Roman" w:hAnsi="Times New Roman" w:cs="Times New Roman"/>
          <w:color w:val="auto"/>
          <w:kern w:val="2"/>
          <w:sz w:val="32"/>
          <w:szCs w:val="32"/>
          <w:lang w:val="en-US" w:eastAsia="zh-CN" w:bidi="ar-SA"/>
        </w:rPr>
        <w:t>%，实现工业增加值</w:t>
      </w:r>
      <w:r>
        <w:rPr>
          <w:rFonts w:hint="eastAsia" w:cs="Times New Roman"/>
          <w:color w:val="auto"/>
          <w:kern w:val="2"/>
          <w:sz w:val="32"/>
          <w:szCs w:val="32"/>
          <w:lang w:val="en-US" w:eastAsia="zh-CN" w:bidi="ar-SA"/>
        </w:rPr>
        <w:t>26</w:t>
      </w:r>
      <w:r>
        <w:rPr>
          <w:rFonts w:hint="default" w:ascii="Times New Roman" w:hAnsi="Times New Roman" w:cs="Times New Roman"/>
          <w:color w:val="auto"/>
          <w:kern w:val="2"/>
          <w:sz w:val="32"/>
          <w:szCs w:val="32"/>
          <w:lang w:val="en-US" w:eastAsia="zh-CN" w:bidi="ar-SA"/>
        </w:rPr>
        <w:t>亿元，年均增长</w:t>
      </w:r>
      <w:r>
        <w:rPr>
          <w:rFonts w:hint="eastAsia" w:cs="Times New Roman"/>
          <w:color w:val="auto"/>
          <w:kern w:val="2"/>
          <w:sz w:val="32"/>
          <w:szCs w:val="32"/>
          <w:lang w:val="en-US" w:eastAsia="zh-CN" w:bidi="ar-SA"/>
        </w:rPr>
        <w:t>25.7</w:t>
      </w:r>
      <w:r>
        <w:rPr>
          <w:rFonts w:hint="default" w:ascii="Times New Roman" w:hAnsi="Times New Roman" w:cs="Times New Roman"/>
          <w:color w:val="auto"/>
          <w:kern w:val="2"/>
          <w:sz w:val="32"/>
          <w:szCs w:val="32"/>
          <w:lang w:val="en-US" w:eastAsia="zh-CN" w:bidi="ar-SA"/>
        </w:rPr>
        <w:t>%。卷烟配套产业紧扣“一年有明显变化、两年有量的巨变、三年有质的飞跃、五年处于行业领先”工作要求，全市卷烟配套产业占红塔集团配套产品市场的比重不低于37%，努力达到50%以上，成为国内最大的烟草配套产业基地。</w:t>
      </w:r>
    </w:p>
    <w:p>
      <w:pPr>
        <w:rPr>
          <w:rFonts w:hint="default" w:ascii="Times New Roman" w:hAnsi="Times New Roman" w:cs="Times New Roman"/>
          <w:color w:val="auto"/>
          <w:kern w:val="2"/>
          <w:sz w:val="32"/>
          <w:szCs w:val="32"/>
          <w:lang w:val="en-US" w:eastAsia="zh-CN" w:bidi="ar-SA"/>
        </w:rPr>
      </w:pPr>
      <w:r>
        <w:rPr>
          <w:rFonts w:hint="eastAsia" w:cs="Times New Roman"/>
          <w:color w:val="auto"/>
          <w:kern w:val="2"/>
          <w:sz w:val="32"/>
          <w:szCs w:val="32"/>
          <w:lang w:val="en-US" w:eastAsia="zh-CN" w:bidi="ar-SA"/>
        </w:rPr>
        <w:t>——</w:t>
      </w:r>
      <w:r>
        <w:rPr>
          <w:rFonts w:hint="default" w:ascii="Times New Roman" w:hAnsi="Times New Roman" w:cs="Times New Roman"/>
          <w:color w:val="auto"/>
          <w:kern w:val="2"/>
          <w:sz w:val="32"/>
          <w:szCs w:val="32"/>
          <w:lang w:val="en-US" w:eastAsia="zh-CN" w:bidi="ar-SA"/>
        </w:rPr>
        <w:t>推动全链条数字化，在技术创新上有突破，完成玉溪卷烟厂数字改造项目，接入工业互联网标识解析二级节点。</w:t>
      </w:r>
    </w:p>
    <w:p>
      <w:pPr>
        <w:pStyle w:val="3"/>
        <w:bidi w:val="0"/>
        <w:rPr>
          <w:rFonts w:hint="default" w:ascii="Times New Roman" w:hAnsi="Times New Roman" w:cs="Times New Roman"/>
          <w:color w:val="auto"/>
          <w:lang w:val="en-US" w:eastAsia="zh-CN"/>
        </w:rPr>
      </w:pPr>
      <w:bookmarkStart w:id="15" w:name="_Toc10723"/>
      <w:r>
        <w:rPr>
          <w:rFonts w:hint="default" w:ascii="Times New Roman" w:hAnsi="Times New Roman" w:cs="Times New Roman"/>
          <w:color w:val="auto"/>
          <w:lang w:val="en-US" w:eastAsia="zh-CN"/>
        </w:rPr>
        <w:t>四、“十四五”发展方向</w:t>
      </w:r>
      <w:bookmarkEnd w:id="15"/>
    </w:p>
    <w:p>
      <w:pPr>
        <w:pStyle w:val="2"/>
        <w:bidi w:val="0"/>
        <w:rPr>
          <w:rFonts w:hint="default" w:ascii="Times New Roman" w:hAnsi="Times New Roman" w:cs="Times New Roman"/>
          <w:color w:val="auto"/>
          <w:lang w:val="en-US" w:eastAsia="zh-CN"/>
        </w:rPr>
      </w:pPr>
      <w:bookmarkStart w:id="16" w:name="_Toc8885"/>
      <w:r>
        <w:rPr>
          <w:rFonts w:hint="default" w:ascii="Times New Roman" w:hAnsi="Times New Roman" w:cs="Times New Roman"/>
          <w:color w:val="auto"/>
          <w:lang w:val="en-US" w:eastAsia="zh-CN"/>
        </w:rPr>
        <w:t>（一）加快卷烟业优化升级</w:t>
      </w:r>
      <w:bookmarkEnd w:id="16"/>
    </w:p>
    <w:p>
      <w:pPr>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1.中式卷烟</w:t>
      </w:r>
    </w:p>
    <w:p>
      <w:pPr>
        <w:rPr>
          <w:rFonts w:hint="default" w:ascii="Times New Roman" w:hAnsi="Times New Roman" w:cs="Times New Roman"/>
          <w:color w:val="auto"/>
          <w:lang w:val="en-US" w:eastAsia="zh-CN"/>
        </w:rPr>
      </w:pPr>
      <w:r>
        <w:rPr>
          <w:rFonts w:hint="default" w:ascii="Times New Roman" w:hAnsi="Times New Roman" w:cs="Times New Roman"/>
          <w:b/>
          <w:bCs/>
          <w:color w:val="auto"/>
          <w:lang w:val="en-US" w:eastAsia="zh-CN"/>
        </w:rPr>
        <w:t>卷烟上水平。</w:t>
      </w:r>
      <w:r>
        <w:rPr>
          <w:rFonts w:hint="default" w:ascii="Times New Roman" w:hAnsi="Times New Roman" w:cs="Times New Roman"/>
          <w:color w:val="auto"/>
          <w:lang w:val="en-US" w:eastAsia="zh-CN"/>
        </w:rPr>
        <w:t>着力做好品牌内功，进一步强化品牌文化建设，提升营销策略，弥补品牌发展短板，强化社交属性，推动价值不断提升。“玉溪”（庄园）系列定位于高端市场，树立形象品牌；“玉溪”定位于高档市场，成为结构效益型品牌；“红塔山”定位于中高档市场，归属规模效益型品牌</w:t>
      </w:r>
      <w:r>
        <w:rPr>
          <w:rFonts w:hint="eastAsia" w:cs="Times New Roman"/>
          <w:color w:val="auto"/>
          <w:lang w:val="en-US" w:eastAsia="zh-CN"/>
        </w:rPr>
        <w:t>；</w:t>
      </w:r>
      <w:r>
        <w:rPr>
          <w:rFonts w:hint="default" w:ascii="Times New Roman" w:hAnsi="Times New Roman" w:cs="Times New Roman"/>
          <w:color w:val="auto"/>
          <w:lang w:val="en-US" w:eastAsia="zh-CN"/>
        </w:rPr>
        <w:t>立足集团卷烟“三长三短”的产品线架构，即“高价烟、普一类烟、三类烟长，高端烟、二类烟、特色烟短”。一方面“扬长”，以保障集团卷烟大盘稳中有升，另一方面“补短”，全力打造创新产品，力争形成新的增长点</w:t>
      </w:r>
      <w:r>
        <w:rPr>
          <w:rFonts w:hint="eastAsia" w:cs="Times New Roman"/>
          <w:color w:val="auto"/>
          <w:lang w:val="en-US" w:eastAsia="zh-CN"/>
        </w:rPr>
        <w:t>；</w:t>
      </w:r>
      <w:r>
        <w:rPr>
          <w:rFonts w:hint="default" w:ascii="Times New Roman" w:hAnsi="Times New Roman" w:eastAsia="仿宋_GB2312" w:cs="Times New Roman"/>
          <w:color w:val="auto"/>
          <w:sz w:val="32"/>
          <w:szCs w:val="32"/>
        </w:rPr>
        <w:t>聚焦烟草行业“136”、“345”品牌发展目标，按照云产品牌高质量发展规划，到2025年，“玉溪”品牌商业批发销售额超过1000亿元，实现“双占位”；“红塔山”品牌商业批发销售额力争达到600亿元以上</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rPr>
        <w:t>有力支撑云南中烟形成规模与效益兼具的品牌集群。</w:t>
      </w:r>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低焦减害卷烟。</w:t>
      </w:r>
      <w:r>
        <w:rPr>
          <w:rFonts w:hint="default" w:ascii="Times New Roman" w:hAnsi="Times New Roman" w:cs="Times New Roman"/>
          <w:color w:val="000000" w:themeColor="text1"/>
          <w:lang w:val="en-US" w:eastAsia="zh-CN"/>
          <w14:textFill>
            <w14:solidFill>
              <w14:schemeClr w14:val="tx1"/>
            </w14:solidFill>
          </w14:textFill>
        </w:rPr>
        <w:t>突出产品研发和储备，着重在中式特色、降焦减害上寻求新突破。重点研究卷烟烟气有害成分及卷烟危害性机理，从卷烟配方、添加剂、烟叶种植生产等重点流程探索源头降焦，进一步深化研究卷烟烟气危害性评价体系，开发降低卷烟烟气焦油量、一氧化碳、酚类、稠环芳烃、烟草特有亚硝胺等有害成分的减害技术，与“卷烟增香保润”紧密结合，研究开发卷烟香味补偿及风格特征保持技术，并形成降低卷烟烟气危害性的集成技术等。加强对卷烟危害性的基础研究，健全完善危害评价方法和标准，提高产品评价的科学性和可靠性。</w:t>
      </w:r>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2.新型烟草</w:t>
      </w:r>
    </w:p>
    <w:p>
      <w:pPr>
        <w:rPr>
          <w:rFonts w:hint="default"/>
          <w:b/>
          <w:bCs/>
          <w:color w:val="0000FF"/>
          <w:lang w:val="en-US" w:eastAsia="zh-CN"/>
        </w:rPr>
      </w:pPr>
      <w:r>
        <w:rPr>
          <w:rFonts w:hint="default"/>
          <w:b/>
          <w:bCs/>
          <w:color w:val="auto"/>
          <w:lang w:val="en-US" w:eastAsia="zh-CN"/>
        </w:rPr>
        <w:t>加热不燃烧卷烟</w:t>
      </w:r>
      <w:r>
        <w:rPr>
          <w:rFonts w:hint="eastAsia"/>
          <w:b/>
          <w:bCs/>
          <w:color w:val="auto"/>
          <w:lang w:val="en-US" w:eastAsia="zh-CN"/>
        </w:rPr>
        <w:t>。</w:t>
      </w:r>
      <w:r>
        <w:rPr>
          <w:rFonts w:hint="default" w:ascii="Times New Roman" w:hAnsi="Times New Roman" w:eastAsia="仿宋_GB2312" w:cs="Times New Roman"/>
          <w:color w:val="auto"/>
          <w:sz w:val="32"/>
          <w:szCs w:val="32"/>
        </w:rPr>
        <w:t>加快以加热不燃烧卷烟为主攻方向的新型烟草</w:t>
      </w:r>
      <w:r>
        <w:rPr>
          <w:rFonts w:hint="eastAsia" w:cs="Times New Roman"/>
          <w:color w:val="auto"/>
          <w:sz w:val="32"/>
          <w:szCs w:val="32"/>
          <w:lang w:val="en-US" w:eastAsia="zh-CN"/>
        </w:rPr>
        <w:t>产业</w:t>
      </w:r>
      <w:r>
        <w:rPr>
          <w:rFonts w:hint="default" w:ascii="Times New Roman" w:hAnsi="Times New Roman" w:eastAsia="仿宋_GB2312" w:cs="Times New Roman"/>
          <w:color w:val="auto"/>
          <w:sz w:val="32"/>
          <w:szCs w:val="32"/>
        </w:rPr>
        <w:t>基地建设，重点发展加热不燃烧烟草制品，依托“MC”品牌加热不燃烧烟，扩充规格，提升品牌知名度。发展电加热型、理化反应加热型(如化学反应、物理结晶等)、燃料加热型(如气态、液态、固态燃料)等不同类型的加热不燃烧烟，丰富产品种类</w:t>
      </w:r>
      <w:r>
        <w:rPr>
          <w:rFonts w:hint="eastAsia" w:cs="Times New Roman"/>
          <w:color w:val="auto"/>
          <w:sz w:val="32"/>
          <w:szCs w:val="32"/>
          <w:lang w:eastAsia="zh-CN"/>
        </w:rPr>
        <w:t>，</w:t>
      </w:r>
      <w:r>
        <w:rPr>
          <w:rFonts w:hint="default" w:ascii="Times New Roman" w:hAnsi="Times New Roman" w:eastAsia="仿宋_GB2312" w:cs="Times New Roman"/>
          <w:color w:val="auto"/>
          <w:sz w:val="32"/>
          <w:szCs w:val="32"/>
        </w:rPr>
        <w:t>努力将红塔打造成为烟草行业加热卷烟新型烟草制品加工制造标杆企业</w:t>
      </w:r>
      <w:r>
        <w:rPr>
          <w:rFonts w:hint="eastAsia" w:cs="Times New Roman"/>
          <w:color w:val="auto"/>
          <w:lang w:val="en-US" w:eastAsia="zh-CN"/>
        </w:rPr>
        <w:t>；</w:t>
      </w:r>
      <w:r>
        <w:rPr>
          <w:rFonts w:hint="default" w:ascii="Times New Roman" w:hAnsi="Times New Roman" w:cs="Times New Roman"/>
          <w:color w:val="auto"/>
          <w:lang w:val="en-US" w:eastAsia="zh-CN"/>
        </w:rPr>
        <w:t>加快推进加热不燃烧烟草制品技术、产品、装备研发创新，做好集成产品定型工作，推动加热不燃烧烟草制品定型化、产业化、品牌化发展</w:t>
      </w:r>
      <w:r>
        <w:rPr>
          <w:rFonts w:hint="eastAsia" w:cs="Times New Roman"/>
          <w:color w:val="auto"/>
          <w:lang w:val="en-US" w:eastAsia="zh-CN"/>
        </w:rPr>
        <w:t>。</w:t>
      </w:r>
      <w:r>
        <w:rPr>
          <w:rFonts w:hint="default" w:ascii="Times New Roman" w:hAnsi="Times New Roman" w:cs="Times New Roman"/>
          <w:color w:val="auto"/>
          <w:lang w:val="en-US" w:eastAsia="zh-CN"/>
        </w:rPr>
        <w:t>积极强化与加热不燃烧电子烟充电器、加热元器件及烟弹等配件企业合作关系</w:t>
      </w:r>
      <w:r>
        <w:rPr>
          <w:rFonts w:hint="eastAsia" w:cs="Times New Roman"/>
          <w:color w:val="auto"/>
          <w:lang w:val="en-US" w:eastAsia="zh-CN"/>
        </w:rPr>
        <w:t>；</w:t>
      </w:r>
      <w:r>
        <w:rPr>
          <w:rFonts w:hint="default" w:ascii="Times New Roman" w:hAnsi="Times New Roman" w:cs="Times New Roman"/>
          <w:color w:val="auto"/>
          <w:lang w:val="en-US" w:eastAsia="zh-CN"/>
        </w:rPr>
        <w:t>加强加热不燃烧烟草制品标准研究与布局，深化行业加热不燃烧烟草制品创新体系建设。加快企业加热不燃烧烟草制品研究所建设和发展，加强与电子、材料、机械、法律等领域国际顶尖机构高端合作。开拓国际市场投放渠道，推进加热不燃烧烟草制品产品国际市场投放试销，并开展配</w:t>
      </w:r>
      <w:r>
        <w:rPr>
          <w:rFonts w:hint="default" w:ascii="Times New Roman" w:hAnsi="Times New Roman" w:cs="Times New Roman"/>
          <w:color w:val="000000" w:themeColor="text1"/>
          <w:lang w:val="en-US" w:eastAsia="zh-CN"/>
          <w14:textFill>
            <w14:solidFill>
              <w14:schemeClr w14:val="tx1"/>
            </w14:solidFill>
          </w14:textFill>
        </w:rPr>
        <w:t>套政策研究。</w:t>
      </w:r>
    </w:p>
    <w:p>
      <w:pPr>
        <w:rPr>
          <w:rFonts w:hint="eastAsia"/>
          <w:color w:val="auto"/>
          <w:lang w:val="en-US" w:eastAsia="zh-CN"/>
        </w:rPr>
      </w:pPr>
      <w:r>
        <w:rPr>
          <w:rFonts w:hint="default"/>
          <w:b/>
          <w:bCs/>
          <w:color w:val="auto"/>
          <w:lang w:val="en-US" w:eastAsia="zh-CN"/>
        </w:rPr>
        <w:t>“</w:t>
      </w:r>
      <w:r>
        <w:rPr>
          <w:rFonts w:hint="eastAsia"/>
          <w:b/>
          <w:bCs/>
          <w:color w:val="auto"/>
          <w:lang w:val="en-US" w:eastAsia="zh-CN"/>
        </w:rPr>
        <w:t>4个基地</w:t>
      </w:r>
      <w:r>
        <w:rPr>
          <w:rFonts w:hint="default"/>
          <w:b/>
          <w:bCs/>
          <w:color w:val="auto"/>
          <w:lang w:val="en-US" w:eastAsia="zh-CN"/>
        </w:rPr>
        <w:t>”</w:t>
      </w:r>
      <w:r>
        <w:rPr>
          <w:rFonts w:hint="eastAsia"/>
          <w:b/>
          <w:bCs/>
          <w:color w:val="auto"/>
          <w:lang w:val="en-US" w:eastAsia="zh-CN"/>
        </w:rPr>
        <w:t>建设。</w:t>
      </w:r>
      <w:r>
        <w:rPr>
          <w:rFonts w:hint="default"/>
          <w:color w:val="auto"/>
          <w:lang w:val="en-US" w:eastAsia="zh-CN"/>
        </w:rPr>
        <w:t>积极谋划好新型烟草产业发展布局，将玉溪打造成新型烟草产业先行先试区，建设新型烟草“四基地”。一是建设加热卷烟专用再造烟叶生产基地。全力支持红塔集团开展加热卷烟专用烟叶原料生产开发，打造具有行业领先地位的加热卷烟薄片芯基材生产基地，解决“卡脖子”问题。二是建设加热卷烟加工制造基地。全力支持红塔集团建设云南中烟加热卷烟加工制造基地，服务好凤凰老厂区改造项目，保证项目顺利推进。三是建设电子烟原料生产基地。依托玉溪丰富的原料优势和高原低压灌装优势，发展以电子烟核心添加剂为主的原料生产基地。四是建设新型烟草创新孵化基地。在玉溪红塔工业园区布局新型烟草产业园，加大技术创新和招商引资，建设国内一流的新型烟草企业聚集地</w:t>
      </w:r>
      <w:r>
        <w:rPr>
          <w:rFonts w:hint="eastAsia"/>
          <w:color w:val="auto"/>
          <w:lang w:val="en-US" w:eastAsia="zh-CN"/>
        </w:rPr>
        <w:t>。</w:t>
      </w:r>
    </w:p>
    <w:p>
      <w:pPr>
        <w:pStyle w:val="2"/>
        <w:bidi w:val="0"/>
        <w:rPr>
          <w:rFonts w:hint="default" w:ascii="Times New Roman" w:hAnsi="Times New Roman" w:cs="Times New Roman"/>
          <w:color w:val="auto"/>
          <w:lang w:val="en-US" w:eastAsia="zh-CN"/>
        </w:rPr>
      </w:pPr>
      <w:bookmarkStart w:id="17" w:name="_Toc11818"/>
      <w:r>
        <w:rPr>
          <w:rFonts w:hint="default" w:ascii="Times New Roman" w:hAnsi="Times New Roman" w:cs="Times New Roman"/>
          <w:color w:val="auto"/>
          <w:lang w:val="en-US" w:eastAsia="zh-CN"/>
        </w:rPr>
        <w:t>（二）推动配套业提质增效</w:t>
      </w:r>
      <w:bookmarkEnd w:id="17"/>
    </w:p>
    <w:p>
      <w:pPr>
        <w:rPr>
          <w:rFonts w:hint="default" w:ascii="Times New Roman" w:hAnsi="Times New Roman" w:cs="Times New Roman"/>
          <w:b/>
          <w:bCs/>
          <w:color w:val="auto"/>
          <w:lang w:val="en-US" w:eastAsia="zh-CN"/>
        </w:rPr>
      </w:pPr>
      <w:r>
        <w:rPr>
          <w:rFonts w:hint="default" w:ascii="Times New Roman" w:hAnsi="Times New Roman" w:cs="Times New Roman"/>
          <w:color w:val="auto"/>
          <w:lang w:val="en-US" w:eastAsia="zh-CN"/>
        </w:rPr>
        <w:t>深入实施创新驱动和高质量发展战略，加快发展满足传统卷烟优势产品、创新品类和新型烟草制品发展需要的配套产品</w:t>
      </w:r>
      <w:r>
        <w:rPr>
          <w:rFonts w:hint="default" w:ascii="楷体_GB2312" w:hAnsi="楷体_GB2312" w:eastAsia="仿宋_GB2312" w:cstheme="minorBidi"/>
          <w:color w:val="auto"/>
          <w:kern w:val="2"/>
          <w:sz w:val="32"/>
          <w:szCs w:val="24"/>
          <w:lang w:val="en-US" w:eastAsia="zh-CN" w:bidi="ar-SA"/>
        </w:rPr>
        <w:t>，推动卷烟配套企业</w:t>
      </w:r>
      <w:r>
        <w:rPr>
          <w:rFonts w:hint="eastAsia" w:ascii="楷体_GB2312" w:hAnsi="楷体_GB2312" w:eastAsia="仿宋_GB2312" w:cstheme="minorBidi"/>
          <w:color w:val="auto"/>
          <w:kern w:val="2"/>
          <w:sz w:val="32"/>
          <w:szCs w:val="24"/>
          <w:lang w:val="en-US" w:eastAsia="zh-CN" w:bidi="ar-SA"/>
        </w:rPr>
        <w:t>“</w:t>
      </w:r>
      <w:r>
        <w:rPr>
          <w:rFonts w:hint="default" w:ascii="楷体_GB2312" w:hAnsi="楷体_GB2312" w:eastAsia="仿宋_GB2312" w:cstheme="minorBidi"/>
          <w:color w:val="auto"/>
          <w:kern w:val="2"/>
          <w:sz w:val="32"/>
          <w:szCs w:val="24"/>
          <w:lang w:val="en-US" w:eastAsia="zh-CN" w:bidi="ar-SA"/>
        </w:rPr>
        <w:t>二次创业</w:t>
      </w:r>
      <w:r>
        <w:rPr>
          <w:rFonts w:hint="eastAsia" w:ascii="楷体_GB2312" w:hAnsi="楷体_GB2312" w:eastAsia="仿宋_GB2312" w:cstheme="minorBidi"/>
          <w:color w:val="auto"/>
          <w:kern w:val="2"/>
          <w:sz w:val="32"/>
          <w:szCs w:val="24"/>
          <w:lang w:val="en-US" w:eastAsia="zh-CN" w:bidi="ar-SA"/>
        </w:rPr>
        <w:t>”</w:t>
      </w:r>
      <w:r>
        <w:rPr>
          <w:rFonts w:hint="eastAsia" w:ascii="楷体_GB2312" w:hAnsi="楷体_GB2312" w:cstheme="minorBidi"/>
          <w:color w:val="auto"/>
          <w:kern w:val="2"/>
          <w:sz w:val="32"/>
          <w:szCs w:val="24"/>
          <w:lang w:val="en-US" w:eastAsia="zh-CN" w:bidi="ar-SA"/>
        </w:rPr>
        <w:t>，</w:t>
      </w:r>
      <w:r>
        <w:rPr>
          <w:rFonts w:hint="default" w:ascii="Times New Roman" w:hAnsi="Times New Roman" w:cs="Times New Roman"/>
          <w:color w:val="auto"/>
          <w:lang w:val="en-US" w:eastAsia="zh-CN"/>
        </w:rPr>
        <w:t>努力完成产业升级和二次腾飞</w:t>
      </w:r>
      <w:r>
        <w:rPr>
          <w:rFonts w:hint="eastAsia" w:cs="Times New Roman"/>
          <w:color w:val="auto"/>
          <w:lang w:val="en-US" w:eastAsia="zh-CN"/>
        </w:rPr>
        <w:t>，</w:t>
      </w:r>
      <w:r>
        <w:rPr>
          <w:rFonts w:hint="default"/>
          <w:color w:val="auto"/>
          <w:lang w:val="en-US" w:eastAsia="zh-CN"/>
        </w:rPr>
        <w:t>打造卷烟配套产业集群</w:t>
      </w:r>
      <w:r>
        <w:rPr>
          <w:rFonts w:hint="default" w:ascii="Times New Roman" w:hAnsi="Times New Roman" w:cs="Times New Roman"/>
          <w:color w:val="auto"/>
          <w:lang w:val="en-US" w:eastAsia="zh-CN"/>
        </w:rPr>
        <w:t>。</w:t>
      </w:r>
    </w:p>
    <w:p>
      <w:pPr>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1.辅料类</w:t>
      </w:r>
    </w:p>
    <w:p>
      <w:pPr>
        <w:rPr>
          <w:rFonts w:hint="default" w:ascii="Times New Roman" w:hAnsi="Times New Roman" w:eastAsia="微软雅黑"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重点发展滤嘴棒、卷烟用纸、水松纸、成形纸、防伪标识、拉线、卷烟专用胶、油墨、增塑剂等。加强滤嘴棒、卷烟纸等烟草配套企业进行技术改造，发展满足优势产品、创新品类和新型烟草制品发展需要的配套产品。</w:t>
      </w:r>
    </w:p>
    <w:p>
      <w:pPr>
        <w:rPr>
          <w:rFonts w:hint="default" w:ascii="Times New Roman" w:hAnsi="Times New Roman" w:cs="Times New Roman"/>
          <w:color w:val="auto"/>
          <w:lang w:val="en-US" w:eastAsia="zh-CN"/>
        </w:rPr>
      </w:pPr>
      <w:r>
        <w:rPr>
          <w:rFonts w:hint="default" w:ascii="Times New Roman" w:hAnsi="Times New Roman" w:cs="Times New Roman"/>
          <w:b/>
          <w:bCs/>
          <w:color w:val="auto"/>
          <w:lang w:val="en-US" w:eastAsia="zh-CN"/>
        </w:rPr>
        <w:t>烟用滤嘴棒</w:t>
      </w:r>
      <w:r>
        <w:rPr>
          <w:rFonts w:hint="eastAsia" w:cs="Times New Roman"/>
          <w:b/>
          <w:bCs/>
          <w:color w:val="auto"/>
          <w:lang w:val="en-US" w:eastAsia="zh-CN"/>
        </w:rPr>
        <w:t>。</w:t>
      </w:r>
      <w:r>
        <w:rPr>
          <w:rFonts w:hint="default" w:ascii="Times New Roman" w:hAnsi="Times New Roman" w:cs="Times New Roman"/>
          <w:color w:val="auto"/>
          <w:lang w:val="en-US" w:eastAsia="zh-CN"/>
        </w:rPr>
        <w:t>积极开发既能有效截留焦油和烟气有害成分，又能保持和提高卷烟吸食品质，满足减害和环保要求的生物滤嘴、保健滤嘴、活性碳滤嘴等新型滤嘴棒及压花滤嘴棒。</w:t>
      </w:r>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auto"/>
          <w:lang w:val="en-US" w:eastAsia="zh-CN"/>
        </w:rPr>
        <w:t>卷烟用纸</w:t>
      </w:r>
      <w:r>
        <w:rPr>
          <w:rFonts w:hint="eastAsia" w:cs="Times New Roman"/>
          <w:b/>
          <w:bCs/>
          <w:color w:val="auto"/>
          <w:lang w:val="en-US" w:eastAsia="zh-CN"/>
        </w:rPr>
        <w:t>。</w:t>
      </w:r>
      <w:r>
        <w:rPr>
          <w:rFonts w:hint="default" w:ascii="Times New Roman" w:hAnsi="Times New Roman" w:cs="Times New Roman"/>
          <w:color w:val="auto"/>
          <w:lang w:val="en-US" w:eastAsia="zh-CN"/>
        </w:rPr>
        <w:t>在生产、工艺、配方等方面采取有效措施，开展功能性卷烟用纸、环保型铝箔纸的研究与开发，满足降焦减害、</w:t>
      </w:r>
      <w:r>
        <w:rPr>
          <w:rFonts w:hint="default" w:ascii="Times New Roman" w:hAnsi="Times New Roman" w:cs="Times New Roman"/>
          <w:color w:val="000000" w:themeColor="text1"/>
          <w:lang w:val="en-US" w:eastAsia="zh-CN"/>
          <w14:textFill>
            <w14:solidFill>
              <w14:schemeClr w14:val="tx1"/>
            </w14:solidFill>
          </w14:textFill>
        </w:rPr>
        <w:t>低碳环保的要求。重点发展真空镀铝转移金银纸、真空镀铝激光全息金银卡纸、真空镀铝内衬纸、真空镀铝激光全息金银内衬纸、BOPP镭射彩虹复膜卡纸、全息镭射金属覆膜印刷复合纸、PET镭射彩虹复膜卡纸、各种花版镭射电化铝、可热塑纸张、烟用无铝内衬纸、多彩镭射转移纸、彩色定位印刷框架纸、烟用高光接装纸等。</w:t>
      </w:r>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auto"/>
          <w:lang w:val="en-US" w:eastAsia="zh-CN"/>
        </w:rPr>
        <w:t>水松纸</w:t>
      </w:r>
      <w:r>
        <w:rPr>
          <w:rFonts w:hint="eastAsia" w:cs="Times New Roman"/>
          <w:b/>
          <w:bCs/>
          <w:color w:val="auto"/>
          <w:lang w:val="en-US" w:eastAsia="zh-CN"/>
        </w:rPr>
        <w:t>。</w:t>
      </w:r>
      <w:r>
        <w:rPr>
          <w:rFonts w:hint="default" w:ascii="Times New Roman" w:hAnsi="Times New Roman" w:cs="Times New Roman"/>
          <w:color w:val="auto"/>
          <w:lang w:val="en-US" w:eastAsia="zh-CN"/>
        </w:rPr>
        <w:t>积极开发具备高防伪性、高精度的健康环保型水松</w:t>
      </w:r>
      <w:r>
        <w:rPr>
          <w:rFonts w:hint="default" w:ascii="Times New Roman" w:hAnsi="Times New Roman" w:cs="Times New Roman"/>
          <w:color w:val="000000" w:themeColor="text1"/>
          <w:lang w:val="en-US" w:eastAsia="zh-CN"/>
          <w14:textFill>
            <w14:solidFill>
              <w14:schemeClr w14:val="tx1"/>
            </w14:solidFill>
          </w14:textFill>
        </w:rPr>
        <w:t>纸。重点发展抗菌水松纸、环保压纹细支接装纸、加香金珠光中支接装纸、加味转移型中支接装纸、蝶影光变防伪接装纸、高光镭射烫印接装纸、透明接装纸、镂空开窗型接装纸、旋转接装纸、防粘唇接装纸、二元接装纸等。同时</w:t>
      </w:r>
      <w:r>
        <w:rPr>
          <w:rFonts w:hint="default" w:ascii="Times New Roman" w:hAnsi="Times New Roman" w:eastAsia="仿宋" w:cs="Times New Roman"/>
          <w:color w:val="000000" w:themeColor="text1"/>
          <w:sz w:val="32"/>
          <w:szCs w:val="32"/>
          <w14:textFill>
            <w14:solidFill>
              <w14:schemeClr w14:val="tx1"/>
            </w14:solidFill>
          </w14:textFill>
        </w:rPr>
        <w:t>加快已开发成功的具有多项科技成果和自主知识产权的薄型基材高精度分切设备、薄型基材激光打孔机、薄型基材多单元电子打孔设备、水松纸多色烫金机等“光机电一体化”产业化步伐。</w:t>
      </w:r>
    </w:p>
    <w:p>
      <w:pPr>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防伪标识</w:t>
      </w:r>
      <w:r>
        <w:rPr>
          <w:rFonts w:hint="eastAsia" w:cs="Times New Roman"/>
          <w:b/>
          <w:bCs/>
          <w:color w:val="auto"/>
          <w:highlight w:val="none"/>
          <w:lang w:val="en-US" w:eastAsia="zh-CN"/>
        </w:rPr>
        <w:t>。</w:t>
      </w:r>
      <w:r>
        <w:rPr>
          <w:rFonts w:hint="default" w:ascii="Times New Roman" w:hAnsi="Times New Roman" w:cs="Times New Roman"/>
          <w:color w:val="auto"/>
          <w:highlight w:val="none"/>
          <w:lang w:val="en-US" w:eastAsia="zh-CN"/>
        </w:rPr>
        <w:t>积极开发防伪性能更高的OVD卷烟防伪膜、光学防伪箔、二维码防伪箔、射频防伪技术、镭射烫印箔、镭射转印碳带、定位烫印标签等防伪新产品，</w:t>
      </w:r>
      <w:r>
        <w:rPr>
          <w:rFonts w:hint="default" w:ascii="Times New Roman" w:hAnsi="Times New Roman" w:eastAsia="仿宋" w:cs="Times New Roman"/>
          <w:color w:val="auto"/>
          <w:sz w:val="32"/>
          <w:szCs w:val="32"/>
          <w:highlight w:val="none"/>
        </w:rPr>
        <w:t>大力拓展医药、酒类、化妆品等非烟领域的市场。</w:t>
      </w:r>
    </w:p>
    <w:p>
      <w:pPr>
        <w:pStyle w:val="7"/>
        <w:rPr>
          <w:rFonts w:hint="default" w:ascii="Times New Roman" w:hAnsi="Times New Roman" w:eastAsia="仿宋" w:cs="Times New Roman"/>
          <w:b w:val="0"/>
          <w:bCs w:val="0"/>
          <w:color w:val="auto"/>
          <w:sz w:val="32"/>
          <w:szCs w:val="32"/>
          <w:highlight w:val="none"/>
          <w:lang w:eastAsia="zh-CN"/>
        </w:rPr>
      </w:pPr>
      <w:r>
        <w:rPr>
          <w:rFonts w:hint="default" w:ascii="Times New Roman" w:hAnsi="Times New Roman" w:eastAsia="仿宋" w:cs="Times New Roman"/>
          <w:b/>
          <w:bCs/>
          <w:color w:val="auto"/>
          <w:sz w:val="32"/>
          <w:szCs w:val="32"/>
          <w:highlight w:val="none"/>
        </w:rPr>
        <w:t>拉线</w:t>
      </w:r>
      <w:r>
        <w:rPr>
          <w:rFonts w:hint="eastAsia" w:ascii="Times New Roman" w:hAnsi="Times New Roman" w:eastAsia="仿宋" w:cs="Times New Roman"/>
          <w:b/>
          <w:bCs/>
          <w:color w:val="auto"/>
          <w:sz w:val="32"/>
          <w:szCs w:val="32"/>
          <w:highlight w:val="none"/>
          <w:lang w:eastAsia="zh-CN"/>
        </w:rPr>
        <w:t>。</w:t>
      </w:r>
      <w:r>
        <w:rPr>
          <w:rFonts w:hint="default" w:ascii="Times New Roman" w:hAnsi="Times New Roman" w:eastAsia="仿宋" w:cs="Times New Roman"/>
          <w:b w:val="0"/>
          <w:bCs w:val="0"/>
          <w:color w:val="auto"/>
          <w:sz w:val="32"/>
          <w:szCs w:val="32"/>
          <w:highlight w:val="none"/>
        </w:rPr>
        <w:t>扩大全息激光防伪收缩金拉线卷烟配套市场，加大医药、食品、化妆品等市场开拓力度</w:t>
      </w:r>
      <w:r>
        <w:rPr>
          <w:rFonts w:hint="default" w:ascii="Times New Roman" w:hAnsi="Times New Roman" w:eastAsia="仿宋" w:cs="Times New Roman"/>
          <w:b w:val="0"/>
          <w:bCs w:val="0"/>
          <w:color w:val="auto"/>
          <w:sz w:val="32"/>
          <w:szCs w:val="32"/>
          <w:highlight w:val="none"/>
          <w:lang w:eastAsia="zh-CN"/>
        </w:rPr>
        <w:t>。</w:t>
      </w:r>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auto"/>
          <w:highlight w:val="none"/>
          <w:lang w:val="en-US" w:eastAsia="zh-CN"/>
        </w:rPr>
        <w:t>卷烟专用胶</w:t>
      </w:r>
      <w:r>
        <w:rPr>
          <w:rFonts w:hint="eastAsia" w:cs="Times New Roman"/>
          <w:b/>
          <w:bCs/>
          <w:color w:val="auto"/>
          <w:highlight w:val="none"/>
          <w:lang w:val="en-US" w:eastAsia="zh-CN"/>
        </w:rPr>
        <w:t>。</w:t>
      </w:r>
      <w:r>
        <w:rPr>
          <w:rFonts w:hint="default" w:ascii="Times New Roman" w:hAnsi="Times New Roman" w:cs="Times New Roman"/>
          <w:color w:val="auto"/>
          <w:highlight w:val="none"/>
          <w:lang w:val="en-US" w:eastAsia="zh-CN"/>
        </w:rPr>
        <w:t>顺应行业安全、环保、高性能发展方向，满足高速卷接设备及其使用要求，突破淀粉胶关键技术，积极发展乙</w:t>
      </w:r>
      <w:r>
        <w:rPr>
          <w:rFonts w:hint="default" w:ascii="Times New Roman" w:hAnsi="Times New Roman" w:cs="Times New Roman"/>
          <w:color w:val="000000" w:themeColor="text1"/>
          <w:lang w:val="en-US" w:eastAsia="zh-CN"/>
          <w14:textFill>
            <w14:solidFill>
              <w14:schemeClr w14:val="tx1"/>
            </w14:solidFill>
          </w14:textFill>
        </w:rPr>
        <w:t>酸乙烯酯均聚乳液调配水基胶、乙烯-乙酸乙烯酯共聚乳液调配胶，适度发展卷烟搭口胶，热熔胶。</w:t>
      </w:r>
    </w:p>
    <w:p>
      <w:pPr>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b/>
          <w:bCs/>
          <w:color w:val="auto"/>
          <w:lang w:val="en-US" w:eastAsia="zh-CN"/>
        </w:rPr>
        <w:t>油墨</w:t>
      </w:r>
      <w:r>
        <w:rPr>
          <w:rFonts w:hint="eastAsia" w:cs="Times New Roman"/>
          <w:b/>
          <w:bCs/>
          <w:color w:val="auto"/>
          <w:lang w:val="en-US" w:eastAsia="zh-CN"/>
        </w:rPr>
        <w:t>。</w:t>
      </w:r>
      <w:r>
        <w:rPr>
          <w:rFonts w:hint="default" w:ascii="Times New Roman" w:hAnsi="Times New Roman" w:eastAsia="仿宋_GB2312" w:cs="Times New Roman"/>
          <w:color w:val="auto"/>
          <w:lang w:val="en-US" w:eastAsia="zh-CN"/>
        </w:rPr>
        <w:t>按照符合器材高质系列化的要求和高速、多色、快干、无污染、低消耗、标准化的发展方向，提高生产无菌水松纸油墨、水性油墨、醇性油墨</w:t>
      </w: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纳米级抗菌油墨、防伪油墨和柔性版印刷油墨等高科技油墨产品的水平，重点发展内衬纸专用清漆、水性金凹印油墨、水性柔版油墨、低乙醇新水性凹印油墨、水性银墨、凹印UV光油、绒面光油、PVC缩膜油墨等。</w:t>
      </w:r>
    </w:p>
    <w:p>
      <w:pPr>
        <w:rPr>
          <w:rFonts w:hint="default" w:ascii="Times New Roman" w:hAnsi="Times New Roman" w:cs="Times New Roman"/>
          <w:color w:val="auto"/>
          <w:lang w:val="en-US" w:eastAsia="zh-CN"/>
        </w:rPr>
      </w:pPr>
      <w:r>
        <w:rPr>
          <w:rFonts w:hint="default" w:ascii="Times New Roman" w:hAnsi="Times New Roman" w:cs="Times New Roman"/>
          <w:b/>
          <w:bCs/>
          <w:color w:val="auto"/>
          <w:lang w:val="en-US" w:eastAsia="zh-CN"/>
        </w:rPr>
        <w:t>增塑剂</w:t>
      </w:r>
      <w:r>
        <w:rPr>
          <w:rFonts w:hint="eastAsia" w:cs="Times New Roman"/>
          <w:b/>
          <w:bCs/>
          <w:color w:val="auto"/>
          <w:lang w:val="en-US" w:eastAsia="zh-CN"/>
        </w:rPr>
        <w:t>。</w:t>
      </w:r>
      <w:r>
        <w:rPr>
          <w:rFonts w:hint="default" w:ascii="Times New Roman" w:hAnsi="Times New Roman" w:cs="Times New Roman"/>
          <w:color w:val="auto"/>
          <w:lang w:val="en-US" w:eastAsia="zh-CN"/>
        </w:rPr>
        <w:t>进一步发展无毒增塑剂，继续研制、开发新种、新剂型，加强瞬间二醋纤维增塑剂、CA粒子增塑剂、三乙酸甘油酯等系列产品质量，重点抓好纳米滤嘴棒增塑剂开发生产，保持玉溪溶剂厂技术上国内领先水平。</w:t>
      </w:r>
    </w:p>
    <w:p>
      <w:pPr>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2.生物类</w:t>
      </w:r>
    </w:p>
    <w:p>
      <w:pPr>
        <w:rPr>
          <w:rFonts w:hint="default" w:ascii="Times New Roman" w:hAnsi="Times New Roman" w:cs="Times New Roman"/>
          <w:b/>
          <w:color w:val="000000" w:themeColor="text1"/>
          <w:sz w:val="32"/>
          <w:szCs w:val="32"/>
          <w:lang w:eastAsia="zh-CN"/>
          <w14:textFill>
            <w14:solidFill>
              <w14:schemeClr w14:val="tx1"/>
            </w14:solidFill>
          </w14:textFill>
        </w:rPr>
      </w:pPr>
      <w:r>
        <w:rPr>
          <w:rFonts w:hint="eastAsia" w:cs="Times New Roman"/>
          <w:color w:val="auto"/>
          <w:lang w:val="en-US" w:eastAsia="zh-CN"/>
        </w:rPr>
        <w:t>重点</w:t>
      </w:r>
      <w:r>
        <w:rPr>
          <w:rFonts w:hint="default" w:ascii="Times New Roman" w:hAnsi="Times New Roman" w:cs="Times New Roman"/>
          <w:color w:val="auto"/>
          <w:lang w:val="en-US" w:eastAsia="zh-CN"/>
        </w:rPr>
        <w:t>发展香精香料。以天然生物提取香精香料为主，</w:t>
      </w:r>
      <w:r>
        <w:rPr>
          <w:rFonts w:hint="default" w:ascii="Times New Roman" w:hAnsi="Times New Roman" w:cs="Times New Roman"/>
          <w:color w:val="auto"/>
          <w:sz w:val="32"/>
          <w:szCs w:val="32"/>
          <w:lang w:val="en-US" w:eastAsia="zh-CN"/>
        </w:rPr>
        <w:t>大力发展香精、香料、芳香油和芳香化学品等产品，积极扶持天宏香精</w:t>
      </w:r>
      <w:r>
        <w:rPr>
          <w:rFonts w:hint="default" w:ascii="Times New Roman" w:hAnsi="Times New Roman" w:cs="Times New Roman"/>
          <w:color w:val="000000" w:themeColor="text1"/>
          <w:sz w:val="32"/>
          <w:szCs w:val="32"/>
          <w:lang w:val="en-US" w:eastAsia="zh-CN"/>
          <w14:textFill>
            <w14:solidFill>
              <w14:schemeClr w14:val="tx1"/>
            </w14:solidFill>
          </w14:textFill>
        </w:rPr>
        <w:t>香料等企业做大做强，</w:t>
      </w:r>
      <w:r>
        <w:rPr>
          <w:rFonts w:hint="default" w:ascii="Times New Roman" w:hAnsi="Times New Roman" w:cs="Times New Roman"/>
          <w:color w:val="000000" w:themeColor="text1"/>
          <w:lang w:val="en-US" w:eastAsia="zh-CN"/>
          <w14:textFill>
            <w14:solidFill>
              <w14:schemeClr w14:val="tx1"/>
            </w14:solidFill>
          </w14:textFill>
        </w:rPr>
        <w:t>采用生物工程与高新技术，强化现有产品的深度开发；积极研发安全、环保的新型高级烟用香精香料，重点发展初级原料、烟用香精、烟用香精香料、植物提取物、烟草浸膏、烟草提取物、烟草精油、植物精油等，</w:t>
      </w:r>
      <w:r>
        <w:rPr>
          <w:rFonts w:hint="default" w:ascii="Times New Roman" w:hAnsi="Times New Roman" w:eastAsia="仿宋" w:cs="Times New Roman"/>
          <w:color w:val="000000" w:themeColor="text1"/>
          <w:sz w:val="32"/>
          <w:szCs w:val="32"/>
          <w14:textFill>
            <w14:solidFill>
              <w14:schemeClr w14:val="tx1"/>
            </w14:solidFill>
          </w14:textFill>
        </w:rPr>
        <w:t>大力开发天然的日用、食用、药用等香精香料</w:t>
      </w:r>
      <w:r>
        <w:rPr>
          <w:rFonts w:hint="default" w:ascii="Times New Roman" w:hAnsi="Times New Roman" w:cs="Times New Roman"/>
          <w:b/>
          <w:color w:val="000000" w:themeColor="text1"/>
          <w:sz w:val="32"/>
          <w:szCs w:val="32"/>
          <w:lang w:eastAsia="zh-CN"/>
          <w14:textFill>
            <w14:solidFill>
              <w14:schemeClr w14:val="tx1"/>
            </w14:solidFill>
          </w14:textFill>
        </w:rPr>
        <w:t>。</w:t>
      </w:r>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3.烟标</w:t>
      </w:r>
    </w:p>
    <w:p>
      <w:pPr>
        <w:rPr>
          <w:rFonts w:hint="default" w:ascii="Times New Roman" w:hAnsi="Times New Roman" w:eastAsia="仿宋_GB2312" w:cs="Times New Roman"/>
          <w:color w:val="000000" w:themeColor="text1"/>
          <w:lang w:val="en-US" w:eastAsia="zh-CN"/>
          <w14:textFill>
            <w14:solidFill>
              <w14:schemeClr w14:val="tx1"/>
            </w14:solidFill>
          </w14:textFill>
        </w:rPr>
      </w:pPr>
      <w:r>
        <w:rPr>
          <w:rFonts w:hint="default" w:ascii="Times New Roman" w:hAnsi="Times New Roman" w:eastAsia="仿宋_GB2312" w:cs="Times New Roman"/>
          <w:color w:val="000000" w:themeColor="text1"/>
          <w:lang w:val="en-US" w:eastAsia="zh-CN"/>
          <w14:textFill>
            <w14:solidFill>
              <w14:schemeClr w14:val="tx1"/>
            </w14:solidFill>
          </w14:textFill>
        </w:rPr>
        <w:t>加快培育设计服务能力强、印刷工艺水平高、防伪性强、符合节能环保理念、竞争力强的烟标企业。顺应低碳环保印刷方向，加快水性油墨、柔性版印刷、电子标签推广使用，运用联线多工艺组合技术</w:t>
      </w:r>
      <w:r>
        <w:rPr>
          <w:rFonts w:hint="default" w:ascii="Times New Roman" w:hAnsi="Times New Roman" w:cs="Times New Roman"/>
          <w:color w:val="000000" w:themeColor="text1"/>
          <w:lang w:val="en-US" w:eastAsia="zh-CN"/>
          <w14:textFill>
            <w14:solidFill>
              <w14:schemeClr w14:val="tx1"/>
            </w14:solidFill>
          </w14:textFill>
        </w:rPr>
        <w:t>提高生产效率及印刷质量，</w:t>
      </w:r>
      <w:r>
        <w:rPr>
          <w:rFonts w:hint="default" w:ascii="Times New Roman" w:hAnsi="Times New Roman" w:eastAsia="仿宋_GB2312" w:cs="Times New Roman"/>
          <w:color w:val="000000" w:themeColor="text1"/>
          <w:lang w:val="en-US" w:eastAsia="zh-CN"/>
          <w14:textFill>
            <w14:solidFill>
              <w14:schemeClr w14:val="tx1"/>
            </w14:solidFill>
          </w14:textFill>
        </w:rPr>
        <w:t>使印品具有胶印的柔和色彩、凸印的清晰、凹印的墨层厚实和高光泽。</w:t>
      </w:r>
      <w:r>
        <w:rPr>
          <w:rFonts w:hint="default" w:ascii="Times New Roman" w:hAnsi="Times New Roman" w:cs="Times New Roman"/>
          <w:color w:val="000000" w:themeColor="text1"/>
          <w:lang w:val="en-US" w:eastAsia="zh-CN"/>
          <w14:textFill>
            <w14:solidFill>
              <w14:schemeClr w14:val="tx1"/>
            </w14:solidFill>
          </w14:textFill>
        </w:rPr>
        <w:t>运用</w:t>
      </w:r>
      <w:r>
        <w:rPr>
          <w:rFonts w:hint="default" w:ascii="Times New Roman" w:hAnsi="Times New Roman" w:eastAsia="仿宋_GB2312" w:cs="Times New Roman"/>
          <w:color w:val="000000" w:themeColor="text1"/>
          <w:lang w:val="en-US" w:eastAsia="zh-CN"/>
          <w14:textFill>
            <w14:solidFill>
              <w14:schemeClr w14:val="tx1"/>
            </w14:solidFill>
          </w14:textFill>
        </w:rPr>
        <w:t>多色胶印、高速凹印、烫金模切压凸、软包连线卷盘烫印等先进印刷技术发展定位激光刻蚀防伪无菌包装盒、高阻隔激光刻蚀镀铝膜保鲜包装盒、高信息化防伪、环保型包装盒、全息防伪标签定位印刷与立体烫印包装盒等。加快优秀烟标企业向消费类电子产品、精品烟酒、高档化妆品</w:t>
      </w:r>
      <w:r>
        <w:rPr>
          <w:rFonts w:hint="default" w:ascii="Times New Roman" w:hAnsi="Times New Roman" w:cs="Times New Roman"/>
          <w:color w:val="000000" w:themeColor="text1"/>
          <w:lang w:val="en-US" w:eastAsia="zh-CN"/>
          <w14:textFill>
            <w14:solidFill>
              <w14:schemeClr w14:val="tx1"/>
            </w14:solidFill>
          </w14:textFill>
        </w:rPr>
        <w:t>等中高端包装</w:t>
      </w:r>
      <w:r>
        <w:rPr>
          <w:rFonts w:hint="default" w:ascii="Times New Roman" w:hAnsi="Times New Roman" w:eastAsia="仿宋_GB2312" w:cs="Times New Roman"/>
          <w:color w:val="000000" w:themeColor="text1"/>
          <w:lang w:val="en-US" w:eastAsia="zh-CN"/>
          <w14:textFill>
            <w14:solidFill>
              <w14:schemeClr w14:val="tx1"/>
            </w14:solidFill>
          </w14:textFill>
        </w:rPr>
        <w:t>转型升级。</w:t>
      </w:r>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4.包装类</w:t>
      </w:r>
    </w:p>
    <w:p>
      <w:pPr>
        <w:rPr>
          <w:rFonts w:hint="default" w:ascii="Times New Roman" w:hAnsi="Times New Roman" w:eastAsia="仿宋_GB2312" w:cs="Times New Roman"/>
          <w:color w:val="000000" w:themeColor="text1"/>
          <w:lang w:val="en-US" w:eastAsia="zh-CN"/>
          <w14:textFill>
            <w14:solidFill>
              <w14:schemeClr w14:val="tx1"/>
            </w14:solidFill>
          </w14:textFill>
        </w:rPr>
      </w:pPr>
      <w:r>
        <w:rPr>
          <w:rFonts w:hint="default" w:ascii="Times New Roman" w:hAnsi="Times New Roman" w:eastAsia="仿宋_GB2312" w:cs="Times New Roman"/>
          <w:color w:val="000000" w:themeColor="text1"/>
          <w:lang w:val="en-US" w:eastAsia="zh-CN"/>
          <w14:textFill>
            <w14:solidFill>
              <w14:schemeClr w14:val="tx1"/>
            </w14:solidFill>
          </w14:textFill>
        </w:rPr>
        <w:t>以绿色化、智能化为发展方向，重点发展BOPP薄膜、烟用瓦楞纸箱等</w:t>
      </w:r>
      <w:r>
        <w:rPr>
          <w:rFonts w:hint="default"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eastAsia="仿宋_GB2312" w:cs="Times New Roman"/>
          <w:color w:val="000000" w:themeColor="text1"/>
          <w:lang w:val="en-US" w:eastAsia="zh-CN"/>
          <w14:textFill>
            <w14:solidFill>
              <w14:schemeClr w14:val="tx1"/>
            </w14:solidFill>
          </w14:textFill>
        </w:rPr>
        <w:t>积极扶持恩捷新材料、红塔塑胶、华宁裕丰纸业等企业做大规模和加强技术改造，推动包装行业向节能环保、绿色高效方向发展。</w:t>
      </w:r>
    </w:p>
    <w:p>
      <w:pPr>
        <w:rPr>
          <w:rFonts w:hint="default" w:ascii="Times New Roman" w:hAnsi="Times New Roman" w:cs="Times New Roman"/>
          <w:color w:val="auto"/>
          <w:lang w:val="en-US" w:eastAsia="zh-CN"/>
        </w:rPr>
      </w:pPr>
      <w:r>
        <w:rPr>
          <w:rFonts w:hint="default" w:ascii="Times New Roman" w:hAnsi="Times New Roman" w:cs="Times New Roman"/>
          <w:b/>
          <w:bCs/>
          <w:color w:val="auto"/>
          <w:lang w:val="en-US" w:eastAsia="zh-CN"/>
        </w:rPr>
        <w:t>BOPP薄膜</w:t>
      </w:r>
      <w:r>
        <w:rPr>
          <w:rFonts w:hint="eastAsia" w:cs="Times New Roman"/>
          <w:b/>
          <w:bCs/>
          <w:color w:val="auto"/>
          <w:lang w:val="en-US" w:eastAsia="zh-CN"/>
        </w:rPr>
        <w:t>。</w:t>
      </w:r>
      <w:r>
        <w:rPr>
          <w:rFonts w:hint="default" w:ascii="Times New Roman" w:hAnsi="Times New Roman" w:cs="Times New Roman"/>
          <w:color w:val="auto"/>
          <w:lang w:val="en-US" w:eastAsia="zh-CN"/>
        </w:rPr>
        <w:t>顺应行业绿色化、功能化、专用化、差异定制化及智能化发展方向，重点发展热封型双向拉伸聚丙烯薄膜、普通型双向拉伸聚丙烯薄膜、低温收缩包装膜、超薄高消光膜、镭射膜、应用于高速上胶设备的胶粘带基膜、超厚低雾度包装膜、膜带拉线产品、低成本热封膜、具有保湿和阻隔作用的内衬包装膜、双拉线基膜、无声胶粘带基膜、定位包装印刷烟膜等。</w:t>
      </w:r>
    </w:p>
    <w:p>
      <w:pPr>
        <w:rPr>
          <w:rFonts w:hint="default" w:ascii="Times New Roman" w:hAnsi="Times New Roman" w:cs="Times New Roman"/>
          <w:color w:val="000000" w:themeColor="text1"/>
          <w:sz w:val="32"/>
          <w:szCs w:val="32"/>
          <w:lang w:eastAsia="zh-CN"/>
          <w14:textFill>
            <w14:solidFill>
              <w14:schemeClr w14:val="tx1"/>
            </w14:solidFill>
          </w14:textFill>
        </w:rPr>
      </w:pPr>
      <w:r>
        <w:rPr>
          <w:rFonts w:hint="default" w:ascii="Times New Roman" w:hAnsi="Times New Roman" w:cs="Times New Roman"/>
          <w:b/>
          <w:bCs/>
          <w:color w:val="auto"/>
          <w:lang w:val="en-US" w:eastAsia="zh-CN"/>
        </w:rPr>
        <w:t>烟用瓦楞纸箱</w:t>
      </w:r>
      <w:r>
        <w:rPr>
          <w:rFonts w:hint="eastAsia" w:cs="Times New Roman"/>
          <w:b/>
          <w:bCs/>
          <w:color w:val="auto"/>
          <w:lang w:val="en-US" w:eastAsia="zh-CN"/>
        </w:rPr>
        <w:t>。</w:t>
      </w:r>
      <w:r>
        <w:rPr>
          <w:rFonts w:hint="default" w:ascii="Times New Roman" w:hAnsi="Times New Roman" w:cs="Times New Roman"/>
          <w:b w:val="0"/>
          <w:color w:val="auto"/>
          <w:kern w:val="0"/>
          <w:szCs w:val="22"/>
          <w:lang w:eastAsia="zh-CN"/>
        </w:rPr>
        <w:t>全面推进绿色包装、安全包装、智能包装一</w:t>
      </w:r>
      <w:r>
        <w:rPr>
          <w:rFonts w:hint="default" w:ascii="Times New Roman" w:hAnsi="Times New Roman" w:cs="Times New Roman"/>
          <w:b w:val="0"/>
          <w:color w:val="000000" w:themeColor="text1"/>
          <w:kern w:val="0"/>
          <w:szCs w:val="22"/>
          <w:lang w:eastAsia="zh-CN"/>
          <w14:textFill>
            <w14:solidFill>
              <w14:schemeClr w14:val="tx1"/>
            </w14:solidFill>
          </w14:textFill>
        </w:rPr>
        <w:t>体化发展，加强瓦楞纸板原辅材料质量、瓦楞楞型、层合结构和包装结构等方面研究，</w:t>
      </w:r>
      <w:r>
        <w:rPr>
          <w:rFonts w:hint="default" w:ascii="Times New Roman" w:hAnsi="Times New Roman" w:cs="Times New Roman"/>
          <w:color w:val="000000" w:themeColor="text1"/>
          <w:lang w:val="en-US" w:eastAsia="zh-CN"/>
          <w14:textFill>
            <w14:solidFill>
              <w14:schemeClr w14:val="tx1"/>
            </w14:solidFill>
          </w14:textFill>
        </w:rPr>
        <w:t>重点发展高强度低定量、</w:t>
      </w:r>
      <w:r>
        <w:rPr>
          <w:rFonts w:hint="default" w:ascii="Times New Roman" w:hAnsi="Times New Roman" w:cs="Times New Roman"/>
          <w:color w:val="000000" w:themeColor="text1"/>
          <w:lang w:eastAsia="zh-CN"/>
          <w14:textFill>
            <w14:solidFill>
              <w14:schemeClr w14:val="tx1"/>
            </w14:solidFill>
          </w14:textFill>
        </w:rPr>
        <w:t>可再生、</w:t>
      </w:r>
      <w:r>
        <w:rPr>
          <w:rFonts w:hint="default" w:ascii="Times New Roman" w:hAnsi="Times New Roman" w:cs="Times New Roman"/>
          <w:color w:val="000000" w:themeColor="text1"/>
          <w:lang w:val="en-US" w:eastAsia="zh-CN"/>
          <w14:textFill>
            <w14:solidFill>
              <w14:schemeClr w14:val="tx1"/>
            </w14:solidFill>
          </w14:textFill>
        </w:rPr>
        <w:t>环保型瓦楞纸包装材料，如烟用纸箱牛皮箱板纸、高强瓦楞原纸等。</w:t>
      </w:r>
      <w:r>
        <w:rPr>
          <w:rFonts w:hint="default" w:ascii="Times New Roman" w:hAnsi="Times New Roman" w:eastAsia="仿宋" w:cs="Times New Roman"/>
          <w:color w:val="000000" w:themeColor="text1"/>
          <w:sz w:val="32"/>
          <w:szCs w:val="32"/>
          <w14:textFill>
            <w14:solidFill>
              <w14:schemeClr w14:val="tx1"/>
            </w14:solidFill>
          </w14:textFill>
        </w:rPr>
        <w:t>发挥现有凹印、丝印、胶印等技术装备优势，</w:t>
      </w:r>
      <w:r>
        <w:rPr>
          <w:rFonts w:hint="default" w:ascii="Times New Roman" w:hAnsi="Times New Roman" w:cs="Times New Roman"/>
          <w:color w:val="000000" w:themeColor="text1"/>
          <w:lang w:val="en-US" w:eastAsia="zh-CN"/>
          <w14:textFill>
            <w14:solidFill>
              <w14:schemeClr w14:val="tx1"/>
            </w14:solidFill>
          </w14:textFill>
        </w:rPr>
        <w:t>在提升配套能力的基础上，</w:t>
      </w:r>
      <w:r>
        <w:rPr>
          <w:rFonts w:hint="default" w:ascii="Times New Roman" w:hAnsi="Times New Roman" w:eastAsia="仿宋" w:cs="Times New Roman"/>
          <w:color w:val="000000" w:themeColor="text1"/>
          <w:sz w:val="32"/>
          <w:szCs w:val="32"/>
          <w14:textFill>
            <w14:solidFill>
              <w14:schemeClr w14:val="tx1"/>
            </w14:solidFill>
          </w14:textFill>
        </w:rPr>
        <w:t>加快调整产品结构，大力拓展出版、娱乐、医药、食品、日用品等非烟领域中高档印刷市场，不断提高设备利用效率</w:t>
      </w:r>
      <w:r>
        <w:rPr>
          <w:rFonts w:hint="default" w:ascii="Times New Roman" w:hAnsi="Times New Roman" w:cs="Times New Roman"/>
          <w:color w:val="000000" w:themeColor="text1"/>
          <w:sz w:val="32"/>
          <w:szCs w:val="32"/>
          <w:lang w:eastAsia="zh-CN"/>
          <w14:textFill>
            <w14:solidFill>
              <w14:schemeClr w14:val="tx1"/>
            </w14:solidFill>
          </w14:textFill>
        </w:rPr>
        <w:t>。</w:t>
      </w:r>
    </w:p>
    <w:p>
      <w:pPr>
        <w:pStyle w:val="7"/>
        <w:rPr>
          <w:rFonts w:hint="default" w:ascii="Times New Roman" w:hAnsi="Times New Roman" w:eastAsia="仿宋_GB2312" w:cs="Times New Roman"/>
          <w:b/>
          <w:bCs/>
          <w:color w:val="000000" w:themeColor="text1"/>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lang w:val="en-US" w:eastAsia="zh-CN"/>
          <w14:textFill>
            <w14:solidFill>
              <w14:schemeClr w14:val="tx1"/>
            </w14:solidFill>
          </w14:textFill>
        </w:rPr>
        <w:t>5.资源综合利用类</w:t>
      </w:r>
    </w:p>
    <w:p>
      <w:pPr>
        <w:rPr>
          <w:rFonts w:hint="default" w:ascii="Times New Roman" w:hAnsi="Times New Roman" w:eastAsia="仿宋_GB2312" w:cs="Times New Roman"/>
          <w:color w:val="000000" w:themeColor="text1"/>
          <w:lang w:val="en-US" w:eastAsia="zh-CN"/>
          <w14:textFill>
            <w14:solidFill>
              <w14:schemeClr w14:val="tx1"/>
            </w14:solidFill>
          </w14:textFill>
        </w:rPr>
      </w:pPr>
      <w:r>
        <w:rPr>
          <w:rFonts w:hint="eastAsia" w:cs="Times New Roman"/>
          <w:b w:val="0"/>
          <w:bCs w:val="0"/>
          <w:color w:val="auto"/>
          <w:lang w:val="en-US" w:eastAsia="zh-CN"/>
        </w:rPr>
        <w:t>加快发展</w:t>
      </w:r>
      <w:r>
        <w:rPr>
          <w:rFonts w:hint="default" w:ascii="Times New Roman" w:hAnsi="Times New Roman" w:eastAsia="仿宋_GB2312" w:cs="Times New Roman"/>
          <w:b w:val="0"/>
          <w:bCs w:val="0"/>
          <w:color w:val="auto"/>
          <w:lang w:val="en-US" w:eastAsia="zh-CN"/>
        </w:rPr>
        <w:t>再造烟叶</w:t>
      </w:r>
      <w:r>
        <w:rPr>
          <w:rFonts w:hint="eastAsia" w:cs="Times New Roman"/>
          <w:b w:val="0"/>
          <w:bCs w:val="0"/>
          <w:color w:val="auto"/>
          <w:lang w:val="en-US" w:eastAsia="zh-CN"/>
        </w:rPr>
        <w:t>。</w:t>
      </w:r>
      <w:r>
        <w:rPr>
          <w:rFonts w:hint="default" w:ascii="Times New Roman" w:hAnsi="Times New Roman" w:eastAsia="仿宋_GB2312" w:cs="Times New Roman"/>
          <w:color w:val="auto"/>
          <w:lang w:val="en-US" w:eastAsia="zh-CN"/>
        </w:rPr>
        <w:t>积极扶持中烟施伟策做大做强，发展满</w:t>
      </w:r>
      <w:r>
        <w:rPr>
          <w:rFonts w:hint="default" w:ascii="Times New Roman" w:hAnsi="Times New Roman" w:eastAsia="仿宋_GB2312" w:cs="Times New Roman"/>
          <w:color w:val="000000" w:themeColor="text1"/>
          <w:lang w:val="en-US" w:eastAsia="zh-CN"/>
          <w14:textFill>
            <w14:solidFill>
              <w14:schemeClr w14:val="tx1"/>
            </w14:solidFill>
          </w14:textFill>
        </w:rPr>
        <w:t>足混合型、烤烟型、白肋烟型、香料烟型等多种产品需求的再造烟叶，加大造纸法再造烟叶工艺技术研究、重组烟草关键技术研究，</w:t>
      </w:r>
      <w:r>
        <w:rPr>
          <w:rFonts w:hint="eastAsia" w:cs="Times New Roman"/>
          <w:color w:val="000000" w:themeColor="text1"/>
          <w:lang w:val="en-US" w:eastAsia="zh-CN"/>
          <w14:textFill>
            <w14:solidFill>
              <w14:schemeClr w14:val="tx1"/>
            </w14:solidFill>
          </w14:textFill>
        </w:rPr>
        <w:t>加强</w:t>
      </w:r>
      <w:r>
        <w:rPr>
          <w:rFonts w:hint="default" w:ascii="Times New Roman" w:hAnsi="Times New Roman" w:eastAsia="仿宋_GB2312" w:cs="Times New Roman"/>
          <w:color w:val="000000" w:themeColor="text1"/>
          <w:lang w:val="en-US" w:eastAsia="zh-CN"/>
          <w14:textFill>
            <w14:solidFill>
              <w14:schemeClr w14:val="tx1"/>
            </w14:solidFill>
          </w14:textFill>
        </w:rPr>
        <w:t>功能型再造烟叶产品、加热不燃烧卷烟芯材及再造烟叶的材料化拓展应用。</w:t>
      </w:r>
    </w:p>
    <w:p>
      <w:pPr>
        <w:pStyle w:val="3"/>
        <w:numPr>
          <w:ilvl w:val="0"/>
          <w:numId w:val="0"/>
        </w:numPr>
        <w:bidi w:val="0"/>
        <w:rPr>
          <w:rFonts w:hint="default" w:ascii="Times New Roman" w:hAnsi="Times New Roman" w:cs="Times New Roman"/>
          <w:color w:val="000000" w:themeColor="text1"/>
          <w:lang w:val="en-US" w:eastAsia="zh-CN"/>
          <w14:textFill>
            <w14:solidFill>
              <w14:schemeClr w14:val="tx1"/>
            </w14:solidFill>
          </w14:textFill>
        </w:rPr>
      </w:pPr>
      <w:bookmarkStart w:id="18" w:name="_Toc12987"/>
      <w:r>
        <w:rPr>
          <w:rFonts w:hint="default" w:ascii="Times New Roman" w:hAnsi="Times New Roman" w:cs="Times New Roman"/>
          <w:color w:val="000000" w:themeColor="text1"/>
          <w:lang w:val="en-US" w:eastAsia="zh-CN"/>
          <w14:textFill>
            <w14:solidFill>
              <w14:schemeClr w14:val="tx1"/>
            </w14:solidFill>
          </w14:textFill>
        </w:rPr>
        <w:t>五、“十四五”重点任务</w:t>
      </w:r>
      <w:bookmarkEnd w:id="18"/>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19" w:name="_Toc22054"/>
      <w:r>
        <w:rPr>
          <w:rFonts w:hint="default" w:ascii="Times New Roman" w:hAnsi="Times New Roman" w:cs="Times New Roman"/>
          <w:color w:val="000000" w:themeColor="text1"/>
          <w:lang w:val="en-US" w:eastAsia="zh-CN"/>
          <w14:textFill>
            <w14:solidFill>
              <w14:schemeClr w14:val="tx1"/>
            </w14:solidFill>
          </w14:textFill>
        </w:rPr>
        <w:t>（一）着力打造数字烟草</w:t>
      </w:r>
      <w:bookmarkEnd w:id="19"/>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1.卷烟业</w:t>
      </w:r>
    </w:p>
    <w:p>
      <w:pPr>
        <w:rPr>
          <w:rFonts w:hint="default" w:ascii="Times New Roman" w:hAnsi="Times New Roman" w:eastAsia="仿宋" w:cs="Times New Roman"/>
          <w:color w:val="000000" w:themeColor="text1"/>
          <w:sz w:val="32"/>
          <w:szCs w:val="32"/>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推进全过程数字化。</w:t>
      </w:r>
      <w:r>
        <w:rPr>
          <w:rFonts w:hint="default" w:ascii="Times New Roman" w:hAnsi="Times New Roman" w:cs="Times New Roman"/>
          <w:color w:val="000000" w:themeColor="text1"/>
          <w:lang w:val="en-US" w:eastAsia="zh-CN"/>
          <w14:textFill>
            <w14:solidFill>
              <w14:schemeClr w14:val="tx1"/>
            </w14:solidFill>
          </w14:textFill>
        </w:rPr>
        <w:t>建设智慧烟草农业应用体系及服务平台，支持烟叶种植全过程数据采集、智能化烤烟设施等关键技术和设备的研发推广，推动烟叶育种、种植、收购、调拨、复烤加工、物流、营销全过程数字化。</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建设现代烟草经济体系，</w:t>
      </w:r>
      <w:r>
        <w:rPr>
          <w:rFonts w:hint="default" w:ascii="Times New Roman" w:hAnsi="Times New Roman" w:cs="Times New Roman"/>
          <w:color w:val="000000" w:themeColor="text1"/>
          <w:sz w:val="32"/>
          <w:szCs w:val="32"/>
          <w:lang w:val="en-US" w:eastAsia="zh-CN"/>
          <w14:textFill>
            <w14:solidFill>
              <w14:schemeClr w14:val="tx1"/>
            </w14:solidFill>
          </w14:textFill>
        </w:rPr>
        <w:t>推动数字</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技术与产业深度融合，利用新技术新应用对传统烟草进行全方位、全角度、全链条改造，释放数字对产业发展的放大、叠加、倍增作用，提升全产业链整体水平和竞争力。</w:t>
      </w:r>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推进互联网平台建设应用。</w:t>
      </w:r>
      <w:r>
        <w:rPr>
          <w:rFonts w:hint="default" w:ascii="Times New Roman" w:hAnsi="Times New Roman" w:cs="Times New Roman"/>
          <w:b w:val="0"/>
          <w:bCs w:val="0"/>
          <w:color w:val="000000" w:themeColor="text1"/>
          <w:lang w:val="en-US" w:eastAsia="zh-CN"/>
          <w14:textFill>
            <w14:solidFill>
              <w14:schemeClr w14:val="tx1"/>
            </w14:solidFill>
          </w14:textFill>
        </w:rPr>
        <w:t>依托烟草工业互联网平台，深化卷烟生产全过程数据采集集成，着力推进“云计算、大数据、物联网、移动互联、人工智能”等新一代数字通信技术在研发、生产、销售、经营管理等价值链关键环节的创新应用。建设烟草商业卷烟营销大数据平台，分析掌握消费需求和产品市场表现，实现精准卷烟营销、智能专卖管理和高效工商市场信息互通。</w:t>
      </w:r>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2.配套业</w:t>
      </w:r>
    </w:p>
    <w:p>
      <w:pPr>
        <w:rPr>
          <w:rFonts w:hint="default" w:ascii="Times New Roman" w:hAnsi="Times New Roman" w:cs="Times New Roman"/>
          <w:b w:val="0"/>
          <w:bCs w:val="0"/>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推动数字化改造。</w:t>
      </w:r>
      <w:r>
        <w:rPr>
          <w:rFonts w:hint="default" w:ascii="Times New Roman" w:hAnsi="Times New Roman" w:cs="Times New Roman"/>
          <w:b w:val="0"/>
          <w:bCs w:val="0"/>
          <w:color w:val="000000" w:themeColor="text1"/>
          <w:lang w:val="en-US" w:eastAsia="zh-CN"/>
          <w14:textFill>
            <w14:solidFill>
              <w14:schemeClr w14:val="tx1"/>
            </w14:solidFill>
          </w14:textFill>
        </w:rPr>
        <w:t>支持配套产业企业数字化改造，建设“数字生产线”、“数字车间”、“数字工厂”；推动卷烟配套产品生产、研发、营销、物流全过程数字化和云化部署，发展智能制造、个性化定制、网络化协同制造和服务型制造，建立完善信息化质量追溯体系。</w:t>
      </w:r>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推进数字化管理。</w:t>
      </w:r>
      <w:r>
        <w:rPr>
          <w:rFonts w:hint="default" w:ascii="Times New Roman" w:hAnsi="Times New Roman" w:cs="Times New Roman"/>
          <w:b w:val="0"/>
          <w:bCs w:val="0"/>
          <w:color w:val="000000" w:themeColor="text1"/>
          <w:lang w:val="en-US" w:eastAsia="zh-CN"/>
          <w14:textFill>
            <w14:solidFill>
              <w14:schemeClr w14:val="tx1"/>
            </w14:solidFill>
          </w14:textFill>
        </w:rPr>
        <w:t>推进设备全生命周期管理，集成融合信息处理、机器视觉、移动计算、人工智能等技术手段，推进智慧设备管理，提升设备装备的智能化水平与生产保障能力。加快构建现代信息技术支撑体系，运用新一代信息技术推动</w:t>
      </w:r>
      <w:r>
        <w:rPr>
          <w:rFonts w:hint="default" w:ascii="Times New Roman" w:hAnsi="Times New Roman" w:cs="Times New Roman"/>
          <w:color w:val="000000" w:themeColor="text1"/>
          <w:lang w:val="en-US" w:eastAsia="zh-CN"/>
          <w14:textFill>
            <w14:solidFill>
              <w14:schemeClr w14:val="tx1"/>
            </w14:solidFill>
          </w14:textFill>
        </w:rPr>
        <w:t>业务管理变革，以技术进步赋能效率提升、管理提升和机制优化，不断推进企业信息化建设与业务管理相结合，实现业务管理融合价值创新。</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20" w:name="_Toc9918"/>
      <w:r>
        <w:rPr>
          <w:rFonts w:hint="default" w:ascii="Times New Roman" w:hAnsi="Times New Roman" w:cs="Times New Roman"/>
          <w:color w:val="000000" w:themeColor="text1"/>
          <w:lang w:val="en-US" w:eastAsia="zh-CN"/>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二</w:t>
      </w:r>
      <w:r>
        <w:rPr>
          <w:rFonts w:hint="default" w:ascii="Times New Roman" w:hAnsi="Times New Roman" w:cs="Times New Roman"/>
          <w:color w:val="000000" w:themeColor="text1"/>
          <w:lang w:val="en-US" w:eastAsia="zh-CN"/>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重塑</w:t>
      </w:r>
      <w:r>
        <w:rPr>
          <w:rFonts w:hint="default" w:ascii="Times New Roman" w:hAnsi="Times New Roman" w:cs="Times New Roman"/>
          <w:color w:val="000000" w:themeColor="text1"/>
          <w:lang w:val="en-US" w:eastAsia="zh-CN"/>
          <w14:textFill>
            <w14:solidFill>
              <w14:schemeClr w14:val="tx1"/>
            </w14:solidFill>
          </w14:textFill>
        </w:rPr>
        <w:t>品牌</w:t>
      </w:r>
      <w:r>
        <w:rPr>
          <w:rFonts w:hint="eastAsia" w:ascii="Times New Roman" w:hAnsi="Times New Roman" w:cs="Times New Roman"/>
          <w:color w:val="000000" w:themeColor="text1"/>
          <w:lang w:val="en-US" w:eastAsia="zh-CN"/>
          <w14:textFill>
            <w14:solidFill>
              <w14:schemeClr w14:val="tx1"/>
            </w14:solidFill>
          </w14:textFill>
        </w:rPr>
        <w:t>竞争力</w:t>
      </w:r>
      <w:bookmarkEnd w:id="20"/>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1.卷烟业</w:t>
      </w:r>
    </w:p>
    <w:p>
      <w:pPr>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b/>
          <w:bCs/>
          <w:color w:val="000000" w:themeColor="text1"/>
          <w:lang w:val="en-US" w:eastAsia="zh-CN"/>
          <w14:textFill>
            <w14:solidFill>
              <w14:schemeClr w14:val="tx1"/>
            </w14:solidFill>
          </w14:textFill>
        </w:rPr>
        <w:t>打造优强</w:t>
      </w:r>
      <w:r>
        <w:rPr>
          <w:rFonts w:hint="default" w:ascii="Times New Roman" w:hAnsi="Times New Roman" w:cs="Times New Roman"/>
          <w:b/>
          <w:bCs/>
          <w:color w:val="000000" w:themeColor="text1"/>
          <w:lang w:val="en-US" w:eastAsia="zh-CN"/>
          <w14:textFill>
            <w14:solidFill>
              <w14:schemeClr w14:val="tx1"/>
            </w14:solidFill>
          </w14:textFill>
        </w:rPr>
        <w:t>品牌体系。</w:t>
      </w:r>
      <w:r>
        <w:rPr>
          <w:rFonts w:hint="default" w:ascii="Times New Roman" w:hAnsi="Times New Roman" w:eastAsia="仿宋_GB2312" w:cs="Times New Roman"/>
          <w:color w:val="000000" w:themeColor="text1"/>
          <w:sz w:val="32"/>
          <w:szCs w:val="32"/>
          <w14:textFill>
            <w14:solidFill>
              <w14:schemeClr w14:val="tx1"/>
            </w14:solidFill>
          </w14:textFill>
        </w:rPr>
        <w:t>坚持做精“玉溪”、做稳“红塔山”，</w:t>
      </w:r>
      <w:r>
        <w:rPr>
          <w:rStyle w:val="17"/>
          <w:rFonts w:hint="eastAsia" w:cs="Times New Roman"/>
          <w:b w:val="0"/>
          <w:bCs/>
          <w:i w:val="0"/>
          <w:caps w:val="0"/>
          <w:color w:val="000000" w:themeColor="text1"/>
          <w:spacing w:val="8"/>
          <w:kern w:val="0"/>
          <w:sz w:val="32"/>
          <w:szCs w:val="32"/>
          <w:shd w:val="clear" w:fill="FFFFFF"/>
          <w:lang w:val="en-US" w:eastAsia="zh-CN" w:bidi="ar"/>
          <w14:textFill>
            <w14:solidFill>
              <w14:schemeClr w14:val="tx1"/>
            </w14:solidFill>
          </w14:textFill>
        </w:rPr>
        <w:t>重点抓好“玉溪品牌千亿工程”。</w:t>
      </w:r>
      <w:r>
        <w:rPr>
          <w:rFonts w:hint="default" w:ascii="Times New Roman" w:hAnsi="Times New Roman" w:eastAsia="仿宋_GB2312" w:cs="Times New Roman"/>
          <w:color w:val="000000" w:themeColor="text1"/>
          <w:sz w:val="32"/>
          <w:szCs w:val="32"/>
          <w14:textFill>
            <w14:solidFill>
              <w14:schemeClr w14:val="tx1"/>
            </w14:solidFill>
          </w14:textFill>
        </w:rPr>
        <w:t>“玉溪”品牌坚持产品创新、提质升级，做稳普一类优势，优化高端产品的梯次化布局，聚焦品牌价值提升，打造行业高档烟领先品牌。“红塔山”品牌坚持二类扩容</w:t>
      </w:r>
      <w:r>
        <w:rPr>
          <w:rFonts w:hint="default" w:ascii="Times New Roman" w:hAnsi="Times New Roman" w:eastAsia="仿宋_GB2312" w:cs="Times New Roman"/>
          <w:color w:val="auto"/>
          <w:sz w:val="32"/>
          <w:szCs w:val="32"/>
        </w:rPr>
        <w:t>和基座升级并重，以创新产品为主线，加快推进品牌“低三转高三”“三类转二类</w:t>
      </w:r>
      <w:r>
        <w:rPr>
          <w:rFonts w:hint="eastAsia" w:cs="Times New Roman"/>
          <w:color w:val="auto"/>
          <w:sz w:val="32"/>
          <w:szCs w:val="32"/>
          <w:lang w:eastAsia="zh-CN"/>
        </w:rPr>
        <w:t>、突破一类</w:t>
      </w:r>
      <w:r>
        <w:rPr>
          <w:rFonts w:hint="default" w:ascii="Times New Roman" w:hAnsi="Times New Roman" w:eastAsia="仿宋_GB2312" w:cs="Times New Roman"/>
          <w:color w:val="auto"/>
          <w:sz w:val="32"/>
          <w:szCs w:val="32"/>
        </w:rPr>
        <w:t>”，聚焦提档升级，</w:t>
      </w:r>
      <w:r>
        <w:rPr>
          <w:rFonts w:hint="eastAsia" w:cs="Times New Roman"/>
          <w:color w:val="auto"/>
          <w:sz w:val="32"/>
          <w:szCs w:val="32"/>
          <w:lang w:val="en-US" w:eastAsia="zh-CN"/>
        </w:rPr>
        <w:t>恢复</w:t>
      </w:r>
      <w:r>
        <w:rPr>
          <w:rFonts w:hint="default" w:ascii="Times New Roman" w:hAnsi="Times New Roman" w:eastAsia="仿宋_GB2312" w:cs="Times New Roman"/>
          <w:color w:val="auto"/>
          <w:sz w:val="32"/>
          <w:szCs w:val="32"/>
        </w:rPr>
        <w:t>品牌形象，努力成为行业中高档主流品牌。</w:t>
      </w:r>
      <w:r>
        <w:rPr>
          <w:rFonts w:hint="default" w:ascii="Times New Roman" w:hAnsi="Times New Roman" w:cs="Times New Roman"/>
          <w:color w:val="auto"/>
          <w:lang w:val="en-US" w:eastAsia="zh-CN"/>
        </w:rPr>
        <w:t>完善品牌布局、品系布局、品类布</w:t>
      </w:r>
      <w:r>
        <w:rPr>
          <w:rFonts w:hint="default" w:ascii="Times New Roman" w:hAnsi="Times New Roman" w:cs="Times New Roman"/>
          <w:color w:val="000000" w:themeColor="text1"/>
          <w:lang w:val="en-US" w:eastAsia="zh-CN"/>
          <w14:textFill>
            <w14:solidFill>
              <w14:schemeClr w14:val="tx1"/>
            </w14:solidFill>
          </w14:textFill>
        </w:rPr>
        <w:t>局，推动规模品牌提结构，效益品牌上规模。加快构建以品牌为核心的资源配置模式，以品牌引领技术进步、以品牌促进结构提升、以品牌带动行业发展。</w:t>
      </w:r>
      <w:r>
        <w:rPr>
          <w:rFonts w:hint="eastAsia" w:cs="Times New Roman"/>
          <w:color w:val="000000" w:themeColor="text1"/>
          <w:lang w:val="en-US" w:eastAsia="zh-CN"/>
          <w14:textFill>
            <w14:solidFill>
              <w14:schemeClr w14:val="tx1"/>
            </w14:solidFill>
          </w14:textFill>
        </w:rPr>
        <w:t>聚焦市场布局、资源优势，在技术、研发、营销上同步发力，全面提升品牌形象，重塑烟草产业新辉煌。</w:t>
      </w:r>
    </w:p>
    <w:p>
      <w:pPr>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b/>
          <w:bCs/>
          <w:color w:val="000000" w:themeColor="text1"/>
          <w:lang w:val="en-US" w:eastAsia="zh-CN"/>
          <w14:textFill>
            <w14:solidFill>
              <w14:schemeClr w14:val="tx1"/>
            </w14:solidFill>
          </w14:textFill>
        </w:rPr>
        <w:t>着力提升品牌价值</w:t>
      </w:r>
      <w:r>
        <w:rPr>
          <w:rFonts w:hint="default" w:ascii="Times New Roman" w:hAnsi="Times New Roman" w:cs="Times New Roman"/>
          <w:b/>
          <w:bCs/>
          <w:color w:val="000000" w:themeColor="text1"/>
          <w:lang w:val="en-US" w:eastAsia="zh-CN"/>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引导品牌价值认知，</w:t>
      </w:r>
      <w:r>
        <w:rPr>
          <w:rFonts w:hint="eastAsia" w:cs="Times New Roman"/>
          <w:b w:val="0"/>
          <w:bCs w:val="0"/>
          <w:color w:val="000000" w:themeColor="text1"/>
          <w:lang w:val="en-US" w:eastAsia="zh-CN"/>
          <w14:textFill>
            <w14:solidFill>
              <w14:schemeClr w14:val="tx1"/>
            </w14:solidFill>
          </w14:textFill>
        </w:rPr>
        <w:t>增强感官品质、文化内涵、技术特色、经营利差四个价值支撑，带动品牌结构上移、价值提升、形象升级，提高消费者对品牌价值的认同感。</w:t>
      </w:r>
      <w:r>
        <w:rPr>
          <w:rFonts w:hint="default" w:ascii="Times New Roman" w:hAnsi="Times New Roman" w:cs="Times New Roman"/>
          <w:color w:val="000000" w:themeColor="text1"/>
          <w:lang w:val="en-US" w:eastAsia="zh-CN"/>
          <w14:textFill>
            <w14:solidFill>
              <w14:schemeClr w14:val="tx1"/>
            </w14:solidFill>
          </w14:textFill>
        </w:rPr>
        <w:t>实施品牌形象塑造工程，持续凸显品牌文化的厚重感、时代感和鲜活感；强化消费引导，持续固化消费者心中的独有品牌标签和特有符号。</w:t>
      </w:r>
      <w:r>
        <w:rPr>
          <w:rFonts w:hint="default" w:ascii="Times New Roman" w:hAnsi="Times New Roman" w:cs="Times New Roman"/>
          <w:color w:val="000000" w:themeColor="text1"/>
          <w:sz w:val="32"/>
          <w:szCs w:val="32"/>
          <w:lang w:val="en-US" w:eastAsia="zh-CN"/>
          <w14:textFill>
            <w14:solidFill>
              <w14:schemeClr w14:val="tx1"/>
            </w14:solidFill>
          </w14:textFill>
        </w:rPr>
        <w:t>加强对品牌管理和维护力度，做到</w:t>
      </w:r>
      <w:r>
        <w:rPr>
          <w:rFonts w:hint="default" w:ascii="Times New Roman" w:hAnsi="Times New Roman" w:cs="Times New Roman"/>
          <w:color w:val="000000" w:themeColor="text1"/>
          <w:lang w:val="en-US" w:eastAsia="zh-CN"/>
          <w14:textFill>
            <w14:solidFill>
              <w14:schemeClr w14:val="tx1"/>
            </w14:solidFill>
          </w14:textFill>
        </w:rPr>
        <w:t>新品设计理念应与品牌文化一脉相承。</w:t>
      </w:r>
      <w:r>
        <w:rPr>
          <w:rFonts w:hint="eastAsia" w:cs="Times New Roman"/>
          <w:color w:val="000000" w:themeColor="text1"/>
          <w:lang w:val="en-US" w:eastAsia="zh-CN"/>
          <w14:textFill>
            <w14:solidFill>
              <w14:schemeClr w14:val="tx1"/>
            </w14:solidFill>
          </w14:textFill>
        </w:rPr>
        <w:t>加大品牌传播力度，稳步提升品牌影响力和价值感。</w:t>
      </w:r>
    </w:p>
    <w:p>
      <w:pPr>
        <w:rPr>
          <w:rFonts w:hint="default" w:ascii="Times New Roman" w:hAnsi="Times New Roman" w:cs="Times New Roman"/>
          <w:b w:val="0"/>
          <w:bCs w:val="0"/>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加强品牌评价。</w:t>
      </w:r>
      <w:r>
        <w:rPr>
          <w:rFonts w:hint="default" w:ascii="Times New Roman" w:hAnsi="Times New Roman" w:cs="Times New Roman"/>
          <w:b w:val="0"/>
          <w:bCs w:val="0"/>
          <w:color w:val="000000" w:themeColor="text1"/>
          <w:lang w:val="en-US" w:eastAsia="zh-CN"/>
          <w14:textFill>
            <w14:solidFill>
              <w14:schemeClr w14:val="tx1"/>
            </w14:solidFill>
          </w14:textFill>
        </w:rPr>
        <w:t>定期按照评价体系对所有品牌终端产品进行综合评价，建立动态测评体系，按综合得分对卷烟经营品牌终端产品采取提升、保持或退出策略。</w:t>
      </w:r>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2.配套业</w:t>
      </w:r>
    </w:p>
    <w:p>
      <w:pPr>
        <w:keepNext w:val="0"/>
        <w:keepLines w:val="0"/>
        <w:pageBreakBefore w:val="0"/>
        <w:widowControl w:val="0"/>
        <w:numPr>
          <w:ilvl w:val="0"/>
          <w:numId w:val="0"/>
        </w:numPr>
        <w:kinsoku/>
        <w:wordWrap/>
        <w:overflowPunct/>
        <w:topLinePunct w:val="0"/>
        <w:autoSpaceDE/>
        <w:autoSpaceDN/>
        <w:bidi w:val="0"/>
        <w:adjustRightInd w:val="0"/>
        <w:snapToGrid w:val="0"/>
        <w:ind w:firstLine="643"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加快品牌培育。</w:t>
      </w:r>
      <w:r>
        <w:rPr>
          <w:rFonts w:hint="default" w:ascii="Times New Roman" w:hAnsi="Times New Roman" w:cs="Times New Roman"/>
          <w:color w:val="000000" w:themeColor="text1"/>
          <w:lang w:val="en-US" w:eastAsia="zh-CN"/>
          <w14:textFill>
            <w14:solidFill>
              <w14:schemeClr w14:val="tx1"/>
            </w14:solidFill>
          </w14:textFill>
        </w:rPr>
        <w:t>牢固树立品牌经营观念，从企业实际出发，开发同类产品的异质性，开发显著性、独创性品牌，在全国同行业中建立知名度、信誉度，扩大市场占有率。</w:t>
      </w:r>
    </w:p>
    <w:p>
      <w:pPr>
        <w:keepNext w:val="0"/>
        <w:keepLines w:val="0"/>
        <w:pageBreakBefore w:val="0"/>
        <w:widowControl w:val="0"/>
        <w:numPr>
          <w:ilvl w:val="0"/>
          <w:numId w:val="0"/>
        </w:numPr>
        <w:kinsoku/>
        <w:wordWrap/>
        <w:overflowPunct/>
        <w:topLinePunct w:val="0"/>
        <w:autoSpaceDE/>
        <w:autoSpaceDN/>
        <w:bidi w:val="0"/>
        <w:adjustRightInd w:val="0"/>
        <w:snapToGrid w:val="0"/>
        <w:ind w:firstLine="643"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加快品牌发展。</w:t>
      </w:r>
      <w:r>
        <w:rPr>
          <w:rFonts w:hint="default" w:ascii="Times New Roman" w:hAnsi="Times New Roman" w:cs="Times New Roman"/>
          <w:color w:val="000000" w:themeColor="text1"/>
          <w:lang w:val="en-US" w:eastAsia="zh-CN"/>
          <w14:textFill>
            <w14:solidFill>
              <w14:schemeClr w14:val="tx1"/>
            </w14:solidFill>
          </w14:textFill>
        </w:rPr>
        <w:t>依托现代信息收集技术及平台，利用自媒体和渠道终端等方式，进行精准传播和产品体验宣传，有效对接市场，传递产品价值，树立品牌良好的口碑效应。做好发展品牌和保护品牌的工作，建立产品品牌愿景，做好品牌在现有领域的发展和相关领域及细分市场的延伸。</w:t>
      </w:r>
    </w:p>
    <w:p>
      <w:pPr>
        <w:pStyle w:val="2"/>
        <w:bidi w:val="0"/>
        <w:rPr>
          <w:rFonts w:hint="default" w:ascii="Times New Roman" w:hAnsi="Times New Roman" w:cs="Times New Roman"/>
          <w:color w:val="auto"/>
          <w:lang w:val="en-US" w:eastAsia="zh-CN"/>
        </w:rPr>
      </w:pPr>
      <w:bookmarkStart w:id="21" w:name="_Toc23010"/>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三</w:t>
      </w:r>
      <w:r>
        <w:rPr>
          <w:rFonts w:hint="default" w:ascii="Times New Roman" w:hAnsi="Times New Roman" w:cs="Times New Roman"/>
          <w:color w:val="auto"/>
          <w:lang w:val="en-US" w:eastAsia="zh-CN"/>
        </w:rPr>
        <w:t>）不断优化供给结构</w:t>
      </w:r>
      <w:bookmarkEnd w:id="21"/>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1.卷烟业</w:t>
      </w:r>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进一步优化卷烟产品结构，充分尊重市场、尊重需求、尊重客观规律，优化产品线布局，维护核心、主导规格，聚焦高端烟、一类烟和二类烟，推动结构整体上移。确立各价位段的主导规格、潜力规格和整合规格，减少云产卷烟品牌的相互冲突。迎合消费趋势、捕捉消费需求，适应个性化、多样化和不断升级的消费趋势，保持创新产品健康发展，持续增强烟草产品供给结构对需求变化的适应性和灵活性。加大</w:t>
      </w:r>
      <w:r>
        <w:rPr>
          <w:rFonts w:hint="default" w:ascii="Times New Roman" w:hAnsi="Times New Roman" w:cs="Times New Roman"/>
          <w:color w:val="000000" w:themeColor="text1"/>
          <w14:textFill>
            <w14:solidFill>
              <w14:schemeClr w14:val="tx1"/>
            </w14:solidFill>
          </w14:textFill>
        </w:rPr>
        <w:t>烟叶非烟用途开发</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积极利用现代信息技术，实时监测消费趋势与市场动态，准确系统地捕捉真实的消费者需求，针对性地打造新品类、培育新产品，赋予品类构建新内涵，激发新的消费动能，牵引出新的增量，培育出新的消费群体，有效缓解“需求拐点”到来的影响，有效解决“供大于求”的矛盾和压力。</w:t>
      </w:r>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2.配套业</w:t>
      </w:r>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优化配套业供给结构，提高供给质量，从保产量向提质量、提效益转变，构建市场化去产能长效机制，强化产业准入标准约束，形成通过市场竞争促进优胜劣汰的新格局。立足于做大做强增量、带动存量优化，加大行业去产能、补短板力度，减少低水平供给与无效供给，提高供给质量，提升供给体系整体效率。优化投资结构、加大先进技术和先进设备投资，提升技术装备水平。加大物质资本和人力资本积累，形成卷烟配套业经济发展新的比较优势与增长潜力，促进供给结构得到长期优化。</w:t>
      </w:r>
    </w:p>
    <w:p>
      <w:pPr>
        <w:pStyle w:val="2"/>
        <w:bidi w:val="0"/>
        <w:rPr>
          <w:rFonts w:hint="default" w:ascii="Times New Roman" w:hAnsi="Times New Roman" w:cs="Times New Roman"/>
          <w:color w:val="auto"/>
          <w:lang w:val="en-US" w:eastAsia="zh-CN"/>
        </w:rPr>
      </w:pPr>
      <w:bookmarkStart w:id="22" w:name="_Toc4449"/>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四</w:t>
      </w:r>
      <w:r>
        <w:rPr>
          <w:rFonts w:hint="default" w:ascii="Times New Roman" w:hAnsi="Times New Roman" w:cs="Times New Roman"/>
          <w:color w:val="auto"/>
          <w:lang w:val="en-US" w:eastAsia="zh-CN"/>
        </w:rPr>
        <w:t>）持续加大创新研发</w:t>
      </w:r>
      <w:bookmarkEnd w:id="22"/>
    </w:p>
    <w:p>
      <w:pPr>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1.卷烟业</w:t>
      </w:r>
    </w:p>
    <w:p>
      <w:pPr>
        <w:rPr>
          <w:rFonts w:hint="default" w:ascii="Times New Roman" w:hAnsi="Times New Roman" w:cs="Times New Roman"/>
          <w:color w:val="auto"/>
          <w:lang w:val="en-US" w:eastAsia="zh-CN"/>
        </w:rPr>
      </w:pPr>
      <w:r>
        <w:rPr>
          <w:rFonts w:hint="default" w:ascii="Times New Roman" w:hAnsi="Times New Roman" w:cs="Times New Roman"/>
          <w:b/>
          <w:bCs/>
          <w:color w:val="auto"/>
          <w:lang w:val="en-US" w:eastAsia="zh-CN"/>
        </w:rPr>
        <w:t>加强中短细研发。</w:t>
      </w:r>
      <w:r>
        <w:rPr>
          <w:rFonts w:hint="default" w:ascii="Times New Roman" w:hAnsi="Times New Roman" w:cs="Times New Roman"/>
          <w:color w:val="auto"/>
          <w:lang w:val="en-US" w:eastAsia="zh-CN"/>
        </w:rPr>
        <w:t>努力提高细支卷烟质量稳定性和工艺控制水平，充分体现减耗降本、减害提质的整体竞争优势；持续关注个性消费趋势的变化，不断提升中支短支卷烟产品的技术水平。</w:t>
      </w:r>
    </w:p>
    <w:p>
      <w:pP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加强减害低焦研发。</w:t>
      </w:r>
      <w:r>
        <w:rPr>
          <w:rFonts w:hint="default" w:ascii="Times New Roman" w:hAnsi="Times New Roman" w:cs="Times New Roman"/>
          <w:b w:val="0"/>
          <w:bCs w:val="0"/>
          <w:color w:val="000000" w:themeColor="text1"/>
          <w:lang w:val="en-US" w:eastAsia="zh-CN"/>
          <w14:textFill>
            <w14:solidFill>
              <w14:schemeClr w14:val="tx1"/>
            </w14:solidFill>
          </w14:textFill>
        </w:rPr>
        <w:t>做好适应市场的低焦油卷烟，特别是低焦高端卷烟，着重加强感官组学、数字化调香、特征层次调香方法等技术在低焦油卷烟增香补香中的应用，进一步增强低焦油卷烟的香气量和满足感，为消费者提供满足需求的低焦油产品。</w:t>
      </w:r>
    </w:p>
    <w:p>
      <w:pPr>
        <w:keepNext w:val="0"/>
        <w:keepLines w:val="0"/>
        <w:pageBreakBefore w:val="0"/>
        <w:widowControl w:val="0"/>
        <w:kinsoku/>
        <w:wordWrap/>
        <w:overflowPunct/>
        <w:topLinePunct w:val="0"/>
        <w:autoSpaceDE/>
        <w:autoSpaceDN/>
        <w:bidi w:val="0"/>
        <w:adjustRightInd w:val="0"/>
        <w:snapToGrid w:val="0"/>
        <w:ind w:firstLine="643"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优化创新成果研发及评价机制。</w:t>
      </w:r>
      <w:r>
        <w:rPr>
          <w:rFonts w:hint="default" w:ascii="Times New Roman" w:hAnsi="Times New Roman" w:cs="Times New Roman"/>
          <w:color w:val="000000" w:themeColor="text1"/>
          <w:lang w:val="en-US" w:eastAsia="zh-CN"/>
          <w14:textFill>
            <w14:solidFill>
              <w14:schemeClr w14:val="tx1"/>
            </w14:solidFill>
          </w14:textFill>
        </w:rPr>
        <w:t>深入落实“一切围绕市场转，一切围绕市场干”的研发方针，建立由市场决定技术创新项目和经费分配、成果评价的机制，大幅提高创新效率。深化工艺保障技术研究和应用，积极开展新品类卷烟关键制造技术研究和过程工艺控制研究，持续深化质量风险管理，持续提升卷烟加工工艺保障水平。</w:t>
      </w:r>
    </w:p>
    <w:p>
      <w:pPr>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2.配套业</w:t>
      </w:r>
    </w:p>
    <w:p>
      <w:pPr>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扩大卷烟配套产品种类，大力发展高端产品和新型配套产品。从卷烟配方、加香加料、原料有效利用、降焦减害、质量安全等环节入手，不断加强新工艺、新技术、新材料的研究、转化、验证、评价和应用工作。聚焦产品创新力提升，系统提升技术创新能力，加快产品设计结构化、模块化研究步伐。加强叶组配方、调香、工艺和辅材的系统攻关与集成应用；</w:t>
      </w:r>
      <w:r>
        <w:rPr>
          <w:rFonts w:hint="default" w:ascii="Times New Roman" w:hAnsi="Times New Roman" w:cs="Times New Roman"/>
          <w:color w:val="auto"/>
          <w:lang w:val="en-US" w:eastAsia="zh-CN"/>
        </w:rPr>
        <w:t>创新设计思路，选用</w:t>
      </w:r>
      <w:r>
        <w:rPr>
          <w:rFonts w:hint="default" w:ascii="Times New Roman" w:hAnsi="Times New Roman" w:cs="Times New Roman"/>
          <w:b w:val="0"/>
          <w:bCs w:val="0"/>
          <w:color w:val="auto"/>
          <w:lang w:val="en-US" w:eastAsia="zh-CN"/>
        </w:rPr>
        <w:t>新材料和新工艺，延续品牌元素、品牌文化；重视卷烟烟标对卷烟吸味的影响研究，加强卷烟纸加香、内衬纸加香、异形嘴棒、特色水松纸、保湿包装等新工艺、新材料的应用研究。推广清洁生产技术、资源综合利用技术、新型节能技术、再制造技术，促进资源循环利用。加强数字化印刷技术等的推广和应用，降低资源浪费，提升劳动生产率。鼓励企业建设绿色工厂、开发绿色产品。</w:t>
      </w:r>
    </w:p>
    <w:p>
      <w:pPr>
        <w:pStyle w:val="2"/>
        <w:bidi w:val="0"/>
        <w:rPr>
          <w:rFonts w:hint="default" w:ascii="Times New Roman" w:hAnsi="Times New Roman" w:cs="Times New Roman"/>
          <w:color w:val="auto"/>
          <w:lang w:val="en-US" w:eastAsia="zh-CN"/>
        </w:rPr>
      </w:pPr>
      <w:bookmarkStart w:id="23" w:name="_Toc30992"/>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五</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加快产业转型升级</w:t>
      </w:r>
      <w:bookmarkEnd w:id="23"/>
    </w:p>
    <w:p>
      <w:pPr>
        <w:pStyle w:val="7"/>
        <w:rPr>
          <w:rFonts w:hint="default" w:ascii="Times New Roman" w:hAnsi="Times New Roman" w:eastAsia="仿宋_GB2312" w:cs="Times New Roman"/>
          <w:b/>
          <w:bCs/>
          <w:color w:val="auto"/>
          <w:sz w:val="32"/>
          <w:szCs w:val="32"/>
          <w:lang w:val="en-US" w:eastAsia="zh-CN"/>
        </w:rPr>
      </w:pPr>
      <w:r>
        <w:rPr>
          <w:rFonts w:hint="eastAsia" w:ascii="Times New Roman" w:hAnsi="Times New Roman" w:cs="Times New Roman"/>
          <w:b/>
          <w:bCs/>
          <w:color w:val="auto"/>
          <w:sz w:val="32"/>
          <w:szCs w:val="32"/>
          <w:lang w:val="en-US" w:eastAsia="zh-CN"/>
        </w:rPr>
        <w:t>1.前瞻布局发展新型烟草</w:t>
      </w:r>
    </w:p>
    <w:p>
      <w:pPr>
        <w:pStyle w:val="7"/>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auto"/>
          <w:sz w:val="32"/>
          <w:szCs w:val="32"/>
          <w:lang w:val="en-US" w:eastAsia="zh-CN"/>
        </w:rPr>
        <w:t>聚焦新型烟草制品发展战略任务，</w:t>
      </w:r>
      <w:r>
        <w:rPr>
          <w:rFonts w:hint="eastAsia" w:ascii="Times New Roman" w:hAnsi="Times New Roman" w:cs="Times New Roman"/>
          <w:color w:val="auto"/>
          <w:sz w:val="32"/>
          <w:szCs w:val="32"/>
          <w:lang w:val="en-US" w:eastAsia="zh-CN"/>
        </w:rPr>
        <w:t>以加热不燃烧卷烟和电子烟为重点，加快技术、产品研发创新和技术储备，推进全产业链布局，争取加热卷烟专用再造烟叶研发生产基地、加热卷烟烟支生产基地、行业烟碱生产基地落户玉溪，推动新型烟草超常规发展。</w:t>
      </w:r>
      <w:r>
        <w:rPr>
          <w:rFonts w:hint="default" w:ascii="Times New Roman" w:hAnsi="Times New Roman" w:eastAsia="仿宋_GB2312" w:cs="Times New Roman"/>
          <w:color w:val="auto"/>
          <w:sz w:val="32"/>
          <w:szCs w:val="32"/>
        </w:rPr>
        <w:t>按总体规划、分步实施原则</w:t>
      </w:r>
      <w:r>
        <w:rPr>
          <w:rFonts w:hint="eastAsia"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rPr>
        <w:t>规划建设云南中烟加热不燃烧</w:t>
      </w:r>
      <w:r>
        <w:rPr>
          <w:rFonts w:hint="default" w:ascii="Times New Roman" w:hAnsi="Times New Roman" w:eastAsia="仿宋_GB2312" w:cs="Times New Roman"/>
          <w:color w:val="000000" w:themeColor="text1"/>
          <w:sz w:val="32"/>
          <w:szCs w:val="32"/>
          <w14:textFill>
            <w14:solidFill>
              <w14:schemeClr w14:val="tx1"/>
            </w14:solidFill>
          </w14:textFill>
        </w:rPr>
        <w:t>卷烟加工制造基地，规划</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建设</w:t>
      </w:r>
      <w:r>
        <w:rPr>
          <w:rFonts w:hint="default" w:ascii="Times New Roman" w:hAnsi="Times New Roman" w:eastAsia="仿宋_GB2312" w:cs="Times New Roman"/>
          <w:color w:val="000000" w:themeColor="text1"/>
          <w:sz w:val="32"/>
          <w:szCs w:val="32"/>
          <w14:textFill>
            <w14:solidFill>
              <w14:schemeClr w14:val="tx1"/>
            </w14:solidFill>
          </w14:textFill>
        </w:rPr>
        <w:t>加热不燃烧卷烟用薄片生产线，用于云南中烟加热卷烟薄片生产并兼顾行业加热卷烟薄片试验放样和定性产品薄片生产；</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规划建设</w:t>
      </w:r>
      <w:r>
        <w:rPr>
          <w:rFonts w:hint="default" w:ascii="Times New Roman" w:hAnsi="Times New Roman" w:eastAsia="仿宋_GB2312" w:cs="Times New Roman"/>
          <w:color w:val="000000" w:themeColor="text1"/>
          <w:sz w:val="32"/>
          <w:szCs w:val="32"/>
          <w14:textFill>
            <w14:solidFill>
              <w14:schemeClr w14:val="tx1"/>
            </w14:solidFill>
          </w14:textFill>
        </w:rPr>
        <w:t>25万箱/年加热卷烟卷包成型产能。</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时刻关注国家新型烟草相关政策动向</w:t>
      </w:r>
      <w:r>
        <w:rPr>
          <w:rFonts w:hint="default" w:ascii="Times New Roman" w:hAnsi="Times New Roman" w:eastAsia="仿宋_GB2312" w:cs="Times New Roman"/>
          <w:color w:val="000000" w:themeColor="text1"/>
          <w:sz w:val="32"/>
          <w:szCs w:val="32"/>
          <w14:textFill>
            <w14:solidFill>
              <w14:schemeClr w14:val="tx1"/>
            </w14:solidFill>
          </w14:textFill>
        </w:rPr>
        <w:t>，积极稳妥地推进新型烟草制品与</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中式</w:t>
      </w:r>
      <w:r>
        <w:rPr>
          <w:rFonts w:hint="default" w:ascii="Times New Roman" w:hAnsi="Times New Roman" w:eastAsia="仿宋_GB2312" w:cs="Times New Roman"/>
          <w:color w:val="000000" w:themeColor="text1"/>
          <w:sz w:val="32"/>
          <w:szCs w:val="32"/>
          <w14:textFill>
            <w14:solidFill>
              <w14:schemeClr w14:val="tx1"/>
            </w14:solidFill>
          </w14:textFill>
        </w:rPr>
        <w:t>卷烟的协调发展。</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加强新型烟草制品技术体系和材料等关键技术研究，系统推进技术、产品、装备、产销体系全产业链创新，推动新型烟草制品实体化、产业化、品牌化、市场化发展，为行业未来发展做好铺垫，将玉溪烟草工业打造成为新型烟草制品领域的国际市场开拓者和国内企业领先者。</w:t>
      </w:r>
    </w:p>
    <w:p>
      <w:pPr>
        <w:pStyle w:val="7"/>
        <w:rPr>
          <w:rFonts w:hint="default" w:ascii="Times New Roman" w:hAnsi="Times New Roman" w:eastAsia="仿宋_GB2312" w:cs="Times New Roman"/>
          <w:b/>
          <w:bCs/>
          <w:color w:val="auto"/>
          <w:sz w:val="32"/>
          <w:szCs w:val="32"/>
          <w:lang w:val="en-US" w:eastAsia="zh-CN"/>
        </w:rPr>
      </w:pPr>
      <w:r>
        <w:rPr>
          <w:rFonts w:hint="eastAsia" w:ascii="Times New Roman" w:hAnsi="Times New Roman" w:cs="Times New Roman"/>
          <w:b/>
          <w:bCs/>
          <w:color w:val="auto"/>
          <w:sz w:val="32"/>
          <w:szCs w:val="32"/>
          <w:lang w:val="en-US" w:eastAsia="zh-CN"/>
        </w:rPr>
        <w:t>2.加快配套企业“二次创业”</w:t>
      </w:r>
    </w:p>
    <w:p>
      <w:pPr>
        <w:rPr>
          <w:rFonts w:hint="eastAsia" w:ascii="Times New Roman" w:hAnsi="Times New Roman" w:cs="Times New Roman"/>
          <w:color w:val="auto"/>
          <w:lang w:val="en-US" w:eastAsia="zh-CN"/>
        </w:rPr>
      </w:pPr>
      <w:r>
        <w:rPr>
          <w:rFonts w:hint="eastAsia" w:ascii="Times New Roman" w:hAnsi="Times New Roman" w:cs="Times New Roman"/>
          <w:b/>
          <w:bCs/>
          <w:color w:val="auto"/>
          <w:lang w:val="en-US" w:eastAsia="zh-CN"/>
        </w:rPr>
        <w:t>锻造长板，巩固优势企业地位。</w:t>
      </w:r>
      <w:r>
        <w:rPr>
          <w:rFonts w:hint="eastAsia" w:ascii="Times New Roman" w:hAnsi="Times New Roman" w:cs="Times New Roman"/>
          <w:color w:val="auto"/>
          <w:lang w:val="en-US" w:eastAsia="zh-CN"/>
        </w:rPr>
        <w:t>一是紧跟烟草制品企业发展步伐，依托玉溪市溶剂厂三乙酸甘油酯系列产品的名牌效应，鼓励支持企业进行研发创新，继续保持滤嘴棒成型专用增塑剂领域的领头羊位置。二是鼓励玉溪市红塔塑胶公司</w:t>
      </w:r>
      <w:r>
        <w:rPr>
          <w:rFonts w:hint="eastAsia" w:cs="Times New Roman"/>
          <w:color w:val="auto"/>
          <w:lang w:val="en-US" w:eastAsia="zh-CN"/>
        </w:rPr>
        <w:t>等</w:t>
      </w:r>
      <w:r>
        <w:rPr>
          <w:rFonts w:hint="eastAsia" w:ascii="Times New Roman" w:hAnsi="Times New Roman" w:cs="Times New Roman"/>
          <w:color w:val="auto"/>
          <w:lang w:val="en-US" w:eastAsia="zh-CN"/>
        </w:rPr>
        <w:t>企业不断提升产品工艺技术，以市场为导向，提高产品供给质量，保持烟用BOPP膜行业领先位置。三是依托中烟施伟策再造烟叶生产线、玉溪市水松纸厂和玉溪卷烟厂滤嘴棒分厂的领先技术、装备水平和产能规模，持续做优做强再造烟叶、水松纸和滤嘴棒等优势产品，以高质量供给满足日益升级的市场需求，不断提高市场占比。</w:t>
      </w:r>
    </w:p>
    <w:p>
      <w:pPr>
        <w:rPr>
          <w:rFonts w:hint="eastAsia" w:ascii="Times New Roman" w:hAnsi="Times New Roman" w:cs="Times New Roman"/>
          <w:color w:val="auto"/>
          <w:lang w:val="en-US" w:eastAsia="zh-CN"/>
        </w:rPr>
      </w:pPr>
      <w:r>
        <w:rPr>
          <w:rFonts w:hint="eastAsia" w:ascii="Times New Roman" w:hAnsi="Times New Roman" w:cs="Times New Roman"/>
          <w:b/>
          <w:bCs/>
          <w:color w:val="auto"/>
          <w:lang w:val="en-US" w:eastAsia="zh-CN"/>
        </w:rPr>
        <w:t>补齐短板，着力弥补薄弱环节。</w:t>
      </w:r>
      <w:r>
        <w:rPr>
          <w:rFonts w:hint="eastAsia" w:ascii="Times New Roman" w:hAnsi="Times New Roman" w:cs="Times New Roman"/>
          <w:color w:val="auto"/>
          <w:lang w:val="en-US" w:eastAsia="zh-CN"/>
        </w:rPr>
        <w:t>一是做好烟标设计营销。</w:t>
      </w:r>
      <w:r>
        <w:rPr>
          <w:rFonts w:hint="eastAsia" w:cs="Times New Roman"/>
          <w:color w:val="auto"/>
          <w:lang w:val="en-US" w:eastAsia="zh-CN"/>
        </w:rPr>
        <w:t>鼓励</w:t>
      </w:r>
      <w:r>
        <w:rPr>
          <w:rFonts w:hint="eastAsia" w:ascii="Times New Roman" w:hAnsi="Times New Roman" w:cs="Times New Roman"/>
          <w:color w:val="auto"/>
          <w:lang w:val="en-US" w:eastAsia="zh-CN"/>
        </w:rPr>
        <w:t>烟标印刷企业在不断开发新工艺的同时，广泛使用新材料，进一步提升玉溪印刷厂、华玉彩印</w:t>
      </w:r>
      <w:r>
        <w:rPr>
          <w:rFonts w:hint="eastAsia" w:cs="Times New Roman"/>
          <w:color w:val="auto"/>
          <w:lang w:val="en-US" w:eastAsia="zh-CN"/>
        </w:rPr>
        <w:t>等</w:t>
      </w:r>
      <w:r>
        <w:rPr>
          <w:rFonts w:hint="eastAsia" w:ascii="Times New Roman" w:hAnsi="Times New Roman" w:cs="Times New Roman"/>
          <w:color w:val="auto"/>
          <w:lang w:val="en-US" w:eastAsia="zh-CN"/>
        </w:rPr>
        <w:t>烟标生产和设计能力，引入设计创新人员，做强做精玉溪烟标产品。二是积极打造内衬纸集群。依托大营街铝箔纸公司、德新纸业</w:t>
      </w:r>
      <w:r>
        <w:rPr>
          <w:rFonts w:hint="eastAsia" w:cs="Times New Roman"/>
          <w:color w:val="auto"/>
          <w:lang w:val="en-US" w:eastAsia="zh-CN"/>
        </w:rPr>
        <w:t>等</w:t>
      </w:r>
      <w:r>
        <w:rPr>
          <w:rFonts w:hint="eastAsia" w:ascii="Times New Roman" w:hAnsi="Times New Roman" w:cs="Times New Roman"/>
          <w:color w:val="auto"/>
          <w:lang w:val="en-US" w:eastAsia="zh-CN"/>
        </w:rPr>
        <w:t>内衬纸生产企业，加强与中烟公司的对接和联系，及时了解行业动态，积极研究解决方案，努力成为国内内衬纸市场的主要供应商。三是雪茄配套实现新突破。积极参与国内四大雪茄生产厂配套产品的供应，以雪茄包装盒、烟标、雪茄剪、保湿器、雪茄套为重点，在雪茄烟配套市场中实现新突破。四是补齐原料端和其它配套产品。在配套企业所需的原材料如印刷油墨、烟标印刷用纸、瓦楞原纸等原料端下功夫，积极延伸原料端链条，通过补链降低配套企业生产成本。</w:t>
      </w:r>
    </w:p>
    <w:p>
      <w:pPr>
        <w:rPr>
          <w:rFonts w:hint="eastAsia" w:ascii="Times New Roman" w:hAnsi="Times New Roman" w:cs="Times New Roman"/>
          <w:color w:val="auto"/>
          <w:lang w:val="en-US" w:eastAsia="zh-CN"/>
        </w:rPr>
      </w:pPr>
      <w:r>
        <w:rPr>
          <w:rFonts w:hint="eastAsia" w:ascii="Times New Roman" w:hAnsi="Times New Roman" w:cs="Times New Roman"/>
          <w:b/>
          <w:bCs/>
          <w:color w:val="auto"/>
          <w:lang w:val="en-US" w:eastAsia="zh-CN"/>
        </w:rPr>
        <w:t>培育新品，抢抓新烟发展契机。</w:t>
      </w:r>
      <w:r>
        <w:rPr>
          <w:rFonts w:hint="eastAsia" w:ascii="Times New Roman" w:hAnsi="Times New Roman" w:cs="Times New Roman"/>
          <w:color w:val="auto"/>
          <w:lang w:val="en-US" w:eastAsia="zh-CN"/>
        </w:rPr>
        <w:t>一是努力研发新型烟草部件。积极开拓创新，加强加热不燃烧卷烟中的烟弹、香精香料、烟具和电子烟雾化器等新型烟草部件的研究与开发，争取新型烟草部件配套份额，形成新的增长点。二</w:t>
      </w:r>
      <w:r>
        <w:rPr>
          <w:rFonts w:hint="eastAsia" w:cs="Times New Roman"/>
          <w:color w:val="auto"/>
          <w:lang w:val="en-US" w:eastAsia="zh-CN"/>
        </w:rPr>
        <w:t>是</w:t>
      </w:r>
      <w:r>
        <w:rPr>
          <w:rFonts w:hint="eastAsia" w:ascii="Times New Roman" w:hAnsi="Times New Roman" w:cs="Times New Roman"/>
          <w:color w:val="auto"/>
          <w:lang w:val="en-US" w:eastAsia="zh-CN"/>
        </w:rPr>
        <w:t>拓展传统产品在新型烟草市场份额。积极优化产品结构，引导配套企业大力拓展烟标等传统配套产品在新型烟草市场的份额。进一步研发适用于新型烟草制品的再造烟叶，不断提升中烟施伟策的烟用薄片供货份额，成为行业新型烟草制品原料发展的开拓者和引领者。</w:t>
      </w:r>
      <w:r>
        <w:rPr>
          <w:rFonts w:hint="eastAsia" w:cs="Times New Roman"/>
          <w:color w:val="auto"/>
          <w:lang w:val="en-US" w:eastAsia="zh-CN"/>
        </w:rPr>
        <w:t>三是</w:t>
      </w:r>
      <w:r>
        <w:rPr>
          <w:rFonts w:hint="eastAsia" w:ascii="Times New Roman" w:hAnsi="Times New Roman" w:cs="Times New Roman"/>
          <w:color w:val="auto"/>
          <w:lang w:val="en-US" w:eastAsia="zh-CN"/>
        </w:rPr>
        <w:t>新型烟草核心添加剂作为电子烟突破口。发挥资源丰富和低压灌装优势，迈出新型烟草核心添加剂规模化生产第一步，引入电子烟头部制造企业，吸引更多的配套企业入驻，全力抢占电子烟配套市场。</w:t>
      </w:r>
    </w:p>
    <w:p>
      <w:pPr>
        <w:rPr>
          <w:rFonts w:hint="default" w:ascii="Times New Roman" w:hAnsi="Times New Roman" w:eastAsia="仿宋_GB2312" w:cs="Times New Roman"/>
          <w:color w:val="auto"/>
          <w:sz w:val="32"/>
          <w:szCs w:val="32"/>
          <w:lang w:val="en-US" w:eastAsia="zh-CN"/>
        </w:rPr>
      </w:pPr>
      <w:r>
        <w:rPr>
          <w:rFonts w:hint="eastAsia" w:ascii="Times New Roman" w:hAnsi="Times New Roman" w:cs="Times New Roman"/>
          <w:b/>
          <w:bCs/>
          <w:color w:val="auto"/>
          <w:lang w:val="en-US" w:eastAsia="zh-CN"/>
        </w:rPr>
        <w:t>拓展非烟，促进产业转型发展。</w:t>
      </w:r>
      <w:r>
        <w:rPr>
          <w:rFonts w:hint="eastAsia" w:ascii="Times New Roman" w:hAnsi="Times New Roman" w:cs="Times New Roman"/>
          <w:color w:val="auto"/>
          <w:lang w:val="en-US" w:eastAsia="zh-CN"/>
        </w:rPr>
        <w:t>一是发挥优势拓展非烟市场。充分利用产品的比较优势，增强产品跨行业渗透性。彩印包装方面，大力拓展出版、娱乐、医药、食品、日用品等非烟领域中高档印刷市场；自粘金拉线方面，加大向医药、食品、化妆品等市场的开拓力度；香精香料方面，推动生物化工大力开发天然的日用、食用、药用等香精香料；防伪标识方面，积极拓展医药、酒类、化妆品、农产品等市场。二是加快企业转型升级步伐。全力支持恩捷股份锂电池隔膜项目，鼓励其它配套企业跨界融合发展，不断创新发展领域，加快多元发展，跳出“鸡蛋放在同一个篮子”困局，形成“多条腿走路”有利局面。</w:t>
      </w:r>
      <w:r>
        <w:rPr>
          <w:rFonts w:hint="eastAsia" w:cs="Times New Roman"/>
          <w:color w:val="auto"/>
          <w:lang w:val="en-US" w:eastAsia="zh-CN"/>
        </w:rPr>
        <w:t>三是推动行业重组。</w:t>
      </w:r>
      <w:r>
        <w:rPr>
          <w:rFonts w:hint="default" w:ascii="Times New Roman" w:hAnsi="Times New Roman" w:cs="Times New Roman"/>
          <w:color w:val="auto"/>
          <w:lang w:val="en-US" w:eastAsia="zh-CN"/>
        </w:rPr>
        <w:t>依托合和集团强大资本，</w:t>
      </w:r>
      <w:r>
        <w:rPr>
          <w:rFonts w:hint="default" w:ascii="Times New Roman" w:hAnsi="Times New Roman" w:eastAsia="仿宋_GB2312" w:cs="Times New Roman"/>
          <w:color w:val="auto"/>
          <w:sz w:val="32"/>
          <w:szCs w:val="32"/>
        </w:rPr>
        <w:t>对配套</w:t>
      </w:r>
      <w:r>
        <w:rPr>
          <w:rFonts w:hint="eastAsia" w:cs="Times New Roman"/>
          <w:color w:val="auto"/>
          <w:sz w:val="32"/>
          <w:szCs w:val="32"/>
          <w:lang w:val="en-US" w:eastAsia="zh-CN"/>
        </w:rPr>
        <w:t>企业</w:t>
      </w:r>
      <w:r>
        <w:rPr>
          <w:rFonts w:hint="default" w:ascii="Times New Roman" w:hAnsi="Times New Roman" w:eastAsia="仿宋_GB2312" w:cs="Times New Roman"/>
          <w:color w:val="auto"/>
          <w:sz w:val="32"/>
          <w:szCs w:val="32"/>
          <w:lang w:eastAsia="zh-CN"/>
        </w:rPr>
        <w:t>进行</w:t>
      </w:r>
      <w:r>
        <w:rPr>
          <w:rFonts w:hint="default" w:ascii="Times New Roman" w:hAnsi="Times New Roman" w:eastAsia="仿宋_GB2312" w:cs="Times New Roman"/>
          <w:color w:val="auto"/>
          <w:sz w:val="32"/>
          <w:szCs w:val="32"/>
        </w:rPr>
        <w:t>整合</w:t>
      </w:r>
      <w:r>
        <w:rPr>
          <w:rFonts w:hint="eastAsia" w:cs="Times New Roman"/>
          <w:color w:val="auto"/>
          <w:sz w:val="32"/>
          <w:szCs w:val="32"/>
          <w:lang w:val="en-US" w:eastAsia="zh-CN"/>
        </w:rPr>
        <w:t>提质</w:t>
      </w:r>
      <w:r>
        <w:rPr>
          <w:rFonts w:hint="default" w:ascii="Times New Roman" w:hAnsi="Times New Roman" w:eastAsia="仿宋_GB2312" w:cs="Times New Roman"/>
          <w:color w:val="auto"/>
          <w:sz w:val="32"/>
          <w:szCs w:val="32"/>
        </w:rPr>
        <w:t>和深度挖掘，系统构建烟草配套服务保障体系，助力烟草全产业链建设，</w:t>
      </w:r>
      <w:r>
        <w:rPr>
          <w:rFonts w:hint="default" w:ascii="Times New Roman" w:hAnsi="Times New Roman" w:eastAsia="仿宋_GB2312" w:cs="Times New Roman"/>
          <w:b w:val="0"/>
          <w:bCs/>
          <w:color w:val="auto"/>
          <w:sz w:val="32"/>
          <w:szCs w:val="32"/>
        </w:rPr>
        <w:t>全面提升配套企业对主业产品安全和产品质量的保障能力</w:t>
      </w:r>
      <w:r>
        <w:rPr>
          <w:rFonts w:hint="default" w:ascii="Times New Roman" w:hAnsi="Times New Roman" w:eastAsia="仿宋_GB2312" w:cs="Times New Roman"/>
          <w:b w:val="0"/>
          <w:bCs/>
          <w:color w:val="auto"/>
          <w:sz w:val="32"/>
          <w:szCs w:val="32"/>
          <w:lang w:val="en-US" w:eastAsia="zh-CN"/>
        </w:rPr>
        <w:t>。</w:t>
      </w:r>
    </w:p>
    <w:p>
      <w:pPr>
        <w:pStyle w:val="2"/>
        <w:bidi w:val="0"/>
        <w:rPr>
          <w:rFonts w:hint="default" w:ascii="Times New Roman" w:hAnsi="Times New Roman" w:cs="Times New Roman"/>
          <w:color w:val="auto"/>
          <w:lang w:val="en-US" w:eastAsia="zh-CN"/>
        </w:rPr>
      </w:pPr>
      <w:bookmarkStart w:id="24" w:name="_Toc21676"/>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六</w:t>
      </w:r>
      <w:r>
        <w:rPr>
          <w:rFonts w:hint="default" w:ascii="Times New Roman" w:hAnsi="Times New Roman" w:cs="Times New Roman"/>
          <w:color w:val="auto"/>
          <w:lang w:val="en-US" w:eastAsia="zh-CN"/>
        </w:rPr>
        <w:t>）积极拓展国内外市场</w:t>
      </w:r>
      <w:bookmarkEnd w:id="24"/>
    </w:p>
    <w:p>
      <w:pPr>
        <w:pStyle w:val="20"/>
        <w:rPr>
          <w:rFonts w:hint="default" w:ascii="Times New Roman" w:hAnsi="Times New Roman" w:eastAsia="仿宋" w:cs="Times New Roman"/>
          <w:b/>
          <w:bCs/>
          <w:color w:val="auto"/>
          <w:kern w:val="2"/>
          <w:sz w:val="32"/>
          <w:szCs w:val="24"/>
          <w:lang w:val="en-US" w:eastAsia="zh-CN" w:bidi="ar-SA"/>
        </w:rPr>
      </w:pPr>
      <w:r>
        <w:rPr>
          <w:rFonts w:hint="default" w:ascii="Times New Roman" w:hAnsi="Times New Roman" w:eastAsia="仿宋" w:cs="Times New Roman"/>
          <w:b/>
          <w:bCs/>
          <w:color w:val="auto"/>
          <w:kern w:val="2"/>
          <w:sz w:val="32"/>
          <w:szCs w:val="24"/>
          <w:lang w:val="en-US" w:eastAsia="zh-CN" w:bidi="ar-SA"/>
        </w:rPr>
        <w:t>1.卷烟业</w:t>
      </w:r>
    </w:p>
    <w:p>
      <w:pPr>
        <w:pStyle w:val="20"/>
        <w:rPr>
          <w:rFonts w:hint="default" w:ascii="Times New Roman" w:hAnsi="Times New Roman" w:eastAsia="仿宋" w:cs="Times New Roman"/>
          <w:color w:val="000000" w:themeColor="text1"/>
          <w:kern w:val="2"/>
          <w:sz w:val="32"/>
          <w:szCs w:val="24"/>
          <w:lang w:val="en-US" w:eastAsia="zh-CN" w:bidi="ar-SA"/>
          <w14:textFill>
            <w14:solidFill>
              <w14:schemeClr w14:val="tx1"/>
            </w14:solidFill>
          </w14:textFill>
        </w:rPr>
      </w:pPr>
      <w:r>
        <w:rPr>
          <w:rFonts w:hint="default" w:ascii="Times New Roman" w:hAnsi="Times New Roman" w:eastAsia="仿宋" w:cs="Times New Roman"/>
          <w:b/>
          <w:bCs/>
          <w:color w:val="auto"/>
          <w:kern w:val="2"/>
          <w:sz w:val="32"/>
          <w:szCs w:val="24"/>
          <w:lang w:val="en-US" w:eastAsia="zh-CN" w:bidi="ar-SA"/>
        </w:rPr>
        <w:t>拓展国内市场</w:t>
      </w:r>
      <w:r>
        <w:rPr>
          <w:rFonts w:hint="default" w:ascii="Times New Roman" w:hAnsi="Times New Roman" w:eastAsia="仿宋" w:cs="Times New Roman"/>
          <w:color w:val="auto"/>
          <w:kern w:val="2"/>
          <w:sz w:val="32"/>
          <w:szCs w:val="24"/>
          <w:lang w:val="en-US" w:eastAsia="zh-CN" w:bidi="ar-SA"/>
        </w:rPr>
        <w:t>。按照“提结构、补短板”工作思路，加强红塔</w:t>
      </w:r>
      <w:r>
        <w:rPr>
          <w:rFonts w:hint="default" w:ascii="Times New Roman" w:hAnsi="Times New Roman" w:eastAsia="仿宋" w:cs="Times New Roman"/>
          <w:color w:val="000000" w:themeColor="text1"/>
          <w:kern w:val="2"/>
          <w:sz w:val="32"/>
          <w:szCs w:val="24"/>
          <w:lang w:val="en-US" w:eastAsia="zh-CN" w:bidi="ar-SA"/>
          <w14:textFill>
            <w14:solidFill>
              <w14:schemeClr w14:val="tx1"/>
            </w14:solidFill>
          </w14:textFill>
        </w:rPr>
        <w:t>集团卷烟全国市场拓展力度，稳步扩大规模，优化市场结构，强化板块联动。着力激发零售积极性，保持适度合理的溢价水平，重视零售盈利，打牢市场基础。</w:t>
      </w:r>
    </w:p>
    <w:p>
      <w:pPr>
        <w:pStyle w:val="20"/>
        <w:rPr>
          <w:rFonts w:hint="default" w:ascii="Times New Roman" w:hAnsi="Times New Roman" w:eastAsia="仿宋" w:cs="Times New Roman"/>
          <w:color w:val="000000" w:themeColor="text1"/>
          <w:kern w:val="2"/>
          <w:sz w:val="32"/>
          <w:szCs w:val="24"/>
          <w:lang w:val="en-US" w:eastAsia="zh-CN" w:bidi="ar-SA"/>
          <w14:textFill>
            <w14:solidFill>
              <w14:schemeClr w14:val="tx1"/>
            </w14:solidFill>
          </w14:textFill>
        </w:rPr>
      </w:pPr>
      <w:r>
        <w:rPr>
          <w:rFonts w:hint="default" w:ascii="Times New Roman" w:hAnsi="Times New Roman" w:eastAsia="仿宋" w:cs="Times New Roman"/>
          <w:b/>
          <w:bCs/>
          <w:i w:val="0"/>
          <w:iCs w:val="0"/>
          <w:color w:val="000000" w:themeColor="text1"/>
          <w:kern w:val="2"/>
          <w:sz w:val="32"/>
          <w:szCs w:val="24"/>
          <w:lang w:val="en-US" w:eastAsia="zh-CN" w:bidi="ar-SA"/>
          <w14:textFill>
            <w14:solidFill>
              <w14:schemeClr w14:val="tx1"/>
            </w14:solidFill>
          </w14:textFill>
        </w:rPr>
        <w:t>拓展国外市场。</w:t>
      </w:r>
      <w:r>
        <w:rPr>
          <w:rFonts w:hint="default" w:ascii="Times New Roman" w:hAnsi="Times New Roman" w:eastAsia="仿宋" w:cs="Times New Roman"/>
          <w:color w:val="000000" w:themeColor="text1"/>
          <w:kern w:val="2"/>
          <w:sz w:val="32"/>
          <w:szCs w:val="24"/>
          <w:lang w:val="en-US" w:eastAsia="zh-CN" w:bidi="ar-SA"/>
          <w14:textFill>
            <w14:solidFill>
              <w14:schemeClr w14:val="tx1"/>
            </w14:solidFill>
          </w14:textFill>
        </w:rPr>
        <w:t>完善国际市场营销布局，统筹配置和优化整合产销资源。围绕国家“一带一路”倡议和孟中印缅经济走廊建设的深入推进，加强与沿线国家和南亚东南亚国家合作，积极推动境外办厂、资本输出、企业合作、境外产销、卷烟出口、烟叶出口等合作</w:t>
      </w:r>
      <w:r>
        <w:rPr>
          <w:rFonts w:hint="default" w:ascii="Times New Roman" w:hAnsi="Times New Roman" w:eastAsia="仿宋" w:cs="Times New Roman"/>
          <w:color w:val="auto"/>
          <w:kern w:val="2"/>
          <w:sz w:val="32"/>
          <w:szCs w:val="24"/>
          <w:lang w:val="en-US" w:eastAsia="zh-CN" w:bidi="ar-SA"/>
        </w:rPr>
        <w:t>。</w:t>
      </w:r>
      <w:r>
        <w:rPr>
          <w:rFonts w:hint="default" w:ascii="Times New Roman" w:hAnsi="Times New Roman" w:eastAsia="仿宋" w:cs="Times New Roman"/>
          <w:color w:val="000000" w:themeColor="text1"/>
          <w:kern w:val="2"/>
          <w:sz w:val="32"/>
          <w:szCs w:val="24"/>
          <w:lang w:val="en-US" w:eastAsia="zh-CN" w:bidi="ar-SA"/>
          <w14:textFill>
            <w14:solidFill>
              <w14:schemeClr w14:val="tx1"/>
            </w14:solidFill>
          </w14:textFill>
        </w:rPr>
        <w:t>提升企业设计、制造、技术、质量、标准和运营服务水平，推动企业在境外开展并购和股权投资、创业投资、联合经营、设立分支机构和研发中心、实验基地和全球营销及服务体系。</w:t>
      </w:r>
    </w:p>
    <w:p>
      <w:pPr>
        <w:pStyle w:val="20"/>
        <w:rPr>
          <w:rFonts w:hint="default" w:ascii="Times New Roman" w:hAnsi="Times New Roman" w:eastAsia="仿宋" w:cs="Times New Roman"/>
          <w:b/>
          <w:bCs/>
          <w:color w:val="000000" w:themeColor="text1"/>
          <w:kern w:val="2"/>
          <w:sz w:val="32"/>
          <w:szCs w:val="24"/>
          <w:lang w:val="en-US" w:eastAsia="zh-CN" w:bidi="ar-SA"/>
          <w14:textFill>
            <w14:solidFill>
              <w14:schemeClr w14:val="tx1"/>
            </w14:solidFill>
          </w14:textFill>
        </w:rPr>
      </w:pPr>
      <w:r>
        <w:rPr>
          <w:rFonts w:hint="default" w:ascii="Times New Roman" w:hAnsi="Times New Roman" w:eastAsia="仿宋" w:cs="Times New Roman"/>
          <w:b/>
          <w:bCs/>
          <w:color w:val="000000" w:themeColor="text1"/>
          <w:kern w:val="2"/>
          <w:sz w:val="32"/>
          <w:szCs w:val="24"/>
          <w:lang w:val="en-US" w:eastAsia="zh-CN" w:bidi="ar-SA"/>
          <w14:textFill>
            <w14:solidFill>
              <w14:schemeClr w14:val="tx1"/>
            </w14:solidFill>
          </w14:textFill>
        </w:rPr>
        <w:t>2.配套业</w:t>
      </w:r>
    </w:p>
    <w:p>
      <w:pPr>
        <w:pStyle w:val="20"/>
        <w:rPr>
          <w:rFonts w:hint="default" w:ascii="Times New Roman" w:hAnsi="Times New Roman" w:eastAsia="仿宋" w:cs="Times New Roman"/>
          <w:b w:val="0"/>
          <w:bCs w:val="0"/>
          <w:i w:val="0"/>
          <w:iCs w:val="0"/>
          <w:color w:val="000000" w:themeColor="text1"/>
          <w:kern w:val="2"/>
          <w:sz w:val="32"/>
          <w:szCs w:val="24"/>
          <w:lang w:val="en-US" w:eastAsia="zh-CN" w:bidi="ar-SA"/>
          <w14:textFill>
            <w14:solidFill>
              <w14:schemeClr w14:val="tx1"/>
            </w14:solidFill>
          </w14:textFill>
        </w:rPr>
      </w:pPr>
      <w:r>
        <w:rPr>
          <w:rFonts w:hint="default" w:ascii="Times New Roman" w:hAnsi="Times New Roman" w:eastAsia="仿宋" w:cs="Times New Roman"/>
          <w:b w:val="0"/>
          <w:bCs w:val="0"/>
          <w:i w:val="0"/>
          <w:iCs w:val="0"/>
          <w:color w:val="000000" w:themeColor="text1"/>
          <w:kern w:val="2"/>
          <w:sz w:val="32"/>
          <w:szCs w:val="24"/>
          <w:lang w:val="en-US" w:eastAsia="zh-CN" w:bidi="ar-SA"/>
          <w14:textFill>
            <w14:solidFill>
              <w14:schemeClr w14:val="tx1"/>
            </w14:solidFill>
          </w14:textFill>
        </w:rPr>
        <w:t>积极关注省外中烟工业公司物资招标和卷烟配套企业需求情况，</w:t>
      </w:r>
      <w:r>
        <w:rPr>
          <w:rFonts w:hint="default" w:ascii="Times New Roman" w:hAnsi="Times New Roman" w:eastAsia="仿宋" w:cs="Times New Roman"/>
          <w:b w:val="0"/>
          <w:bCs w:val="0"/>
          <w:i w:val="0"/>
          <w:iCs w:val="0"/>
          <w:color w:val="000000" w:themeColor="text1"/>
          <w:kern w:val="2"/>
          <w:sz w:val="32"/>
          <w:szCs w:val="24"/>
          <w:lang w:val="zh-CN" w:eastAsia="zh-CN" w:bidi="ar-SA"/>
          <w14:textFill>
            <w14:solidFill>
              <w14:schemeClr w14:val="tx1"/>
            </w14:solidFill>
          </w14:textFill>
        </w:rPr>
        <w:t>提高产品核心竞争力，</w:t>
      </w:r>
      <w:r>
        <w:rPr>
          <w:rFonts w:hint="default" w:ascii="Times New Roman" w:hAnsi="Times New Roman" w:eastAsia="仿宋" w:cs="Times New Roman"/>
          <w:color w:val="000000" w:themeColor="text1"/>
          <w:kern w:val="0"/>
          <w:sz w:val="32"/>
          <w:szCs w:val="32"/>
          <w14:textFill>
            <w14:solidFill>
              <w14:schemeClr w14:val="tx1"/>
            </w14:solidFill>
          </w14:textFill>
        </w:rPr>
        <w:t>拓展省外烟草配套市场</w:t>
      </w:r>
      <w:r>
        <w:rPr>
          <w:rFonts w:hint="default" w:ascii="Times New Roman" w:hAnsi="Times New Roman" w:eastAsia="仿宋"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 w:cs="Times New Roman"/>
          <w:b w:val="0"/>
          <w:bCs w:val="0"/>
          <w:i w:val="0"/>
          <w:iCs w:val="0"/>
          <w:color w:val="000000" w:themeColor="text1"/>
          <w:kern w:val="2"/>
          <w:sz w:val="32"/>
          <w:szCs w:val="24"/>
          <w:lang w:val="zh-CN" w:eastAsia="zh-CN" w:bidi="ar-SA"/>
          <w14:textFill>
            <w14:solidFill>
              <w14:schemeClr w14:val="tx1"/>
            </w14:solidFill>
          </w14:textFill>
        </w:rPr>
        <w:t>加强管理，努力降低产品成本，提升对国内外卷烟企业的配套能力。</w:t>
      </w:r>
      <w:r>
        <w:rPr>
          <w:rFonts w:hint="default" w:ascii="Times New Roman" w:hAnsi="Times New Roman" w:eastAsia="仿宋" w:cs="Times New Roman"/>
          <w:color w:val="000000" w:themeColor="text1"/>
          <w:kern w:val="2"/>
          <w:sz w:val="32"/>
          <w:szCs w:val="24"/>
          <w:lang w:val="en-US" w:eastAsia="zh-CN" w:bidi="ar-SA"/>
          <w14:textFill>
            <w14:solidFill>
              <w14:schemeClr w14:val="tx1"/>
            </w14:solidFill>
          </w14:textFill>
        </w:rPr>
        <w:t>进一步进行市场细分，逐步巩固国内外重点市场，加强市场联动，在各企业间实现差异化协同发展。</w:t>
      </w:r>
    </w:p>
    <w:p>
      <w:pPr>
        <w:pStyle w:val="3"/>
        <w:numPr>
          <w:ilvl w:val="0"/>
          <w:numId w:val="0"/>
        </w:numPr>
        <w:bidi w:val="0"/>
        <w:rPr>
          <w:rFonts w:hint="default" w:ascii="Times New Roman" w:hAnsi="Times New Roman" w:cs="Times New Roman"/>
          <w:color w:val="000000" w:themeColor="text1"/>
          <w:lang w:val="en-US" w:eastAsia="zh-CN"/>
          <w14:textFill>
            <w14:solidFill>
              <w14:schemeClr w14:val="tx1"/>
            </w14:solidFill>
          </w14:textFill>
        </w:rPr>
      </w:pPr>
      <w:bookmarkStart w:id="25" w:name="_Toc4689"/>
      <w:r>
        <w:rPr>
          <w:rFonts w:hint="default" w:ascii="Times New Roman" w:hAnsi="Times New Roman" w:cs="Times New Roman"/>
          <w:color w:val="000000" w:themeColor="text1"/>
          <w:lang w:val="en-US" w:eastAsia="zh-CN"/>
          <w14:textFill>
            <w14:solidFill>
              <w14:schemeClr w14:val="tx1"/>
            </w14:solidFill>
          </w14:textFill>
        </w:rPr>
        <w:t>六、保障措施</w:t>
      </w:r>
      <w:bookmarkEnd w:id="25"/>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26" w:name="_Toc3747"/>
      <w:r>
        <w:rPr>
          <w:rFonts w:hint="default" w:ascii="Times New Roman" w:hAnsi="Times New Roman" w:cs="Times New Roman"/>
          <w:color w:val="000000" w:themeColor="text1"/>
          <w:lang w:val="en-US" w:eastAsia="zh-CN"/>
          <w14:textFill>
            <w14:solidFill>
              <w14:schemeClr w14:val="tx1"/>
            </w14:solidFill>
          </w14:textFill>
        </w:rPr>
        <w:t>（一）优化发展环境</w:t>
      </w:r>
      <w:bookmarkEnd w:id="26"/>
    </w:p>
    <w:p>
      <w:pPr>
        <w:spacing w:line="590" w:lineRule="exact"/>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加强随机监管。</w:t>
      </w:r>
      <w:r>
        <w:rPr>
          <w:rFonts w:hint="default" w:ascii="Times New Roman" w:hAnsi="Times New Roman" w:eastAsia="方正仿宋_GBK" w:cs="Times New Roman"/>
          <w:color w:val="000000" w:themeColor="text1"/>
          <w:sz w:val="32"/>
          <w:szCs w:val="32"/>
          <w14:textFill>
            <w14:solidFill>
              <w14:schemeClr w14:val="tx1"/>
            </w14:solidFill>
          </w14:textFill>
        </w:rPr>
        <w:t>全面推进“一件事”全流程、“最多跑一次”、政务服务“好差评”、营商环境“红黑榜”等改革，推广运用一体化政务服务平台。</w:t>
      </w:r>
      <w:r>
        <w:rPr>
          <w:rFonts w:hint="default" w:ascii="Times New Roman" w:hAnsi="Times New Roman" w:cs="Times New Roman"/>
          <w:color w:val="000000" w:themeColor="text1"/>
          <w:lang w:val="en-US" w:eastAsia="zh-CN"/>
          <w14:textFill>
            <w14:solidFill>
              <w14:schemeClr w14:val="tx1"/>
            </w14:solidFill>
          </w14:textFill>
        </w:rPr>
        <w:t>进一步加强专卖监管各业务系统与“互联网+监管”系统的数据对接管理，全面推广电子营业执照系统与烟草专卖零售许可证系统的对接应用，深入推进物流寄递专项治理，有效提升联合执法效能。切实组织做好“双随机、一公开”监管工作，切实维护产业持续健康稳定发展。</w:t>
      </w:r>
    </w:p>
    <w:p>
      <w:pPr>
        <w:spacing w:line="590" w:lineRule="exact"/>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加强联动监管。</w:t>
      </w:r>
      <w:r>
        <w:rPr>
          <w:rFonts w:hint="default" w:ascii="Times New Roman" w:hAnsi="Times New Roman" w:cs="Times New Roman"/>
          <w:color w:val="000000" w:themeColor="text1"/>
          <w:lang w:val="en-US" w:eastAsia="zh-CN"/>
          <w14:textFill>
            <w14:solidFill>
              <w14:schemeClr w14:val="tx1"/>
            </w14:solidFill>
          </w14:textFill>
        </w:rPr>
        <w:t>落实打击涉烟违法犯罪工作责任制，深入推进跨国、跨省、跨区域大市场、大专卖联动监管模式，严查重点区域、重点场所，重点打击跨地区、集团化、网络化犯罪团伙，严厉打击明摆暗卖“假私非”卷烟行为，构建良好市场环境。</w:t>
      </w:r>
    </w:p>
    <w:p>
      <w:pPr>
        <w:spacing w:line="590" w:lineRule="exact"/>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营造良好政策制度环境。</w:t>
      </w:r>
      <w:r>
        <w:rPr>
          <w:rFonts w:hint="default" w:ascii="Times New Roman" w:hAnsi="Times New Roman" w:cs="Times New Roman"/>
          <w:color w:val="000000" w:themeColor="text1"/>
          <w:lang w:val="en-US" w:eastAsia="zh-CN"/>
          <w14:textFill>
            <w14:solidFill>
              <w14:schemeClr w14:val="tx1"/>
            </w14:solidFill>
          </w14:textFill>
        </w:rPr>
        <w:t>营造稳定、透明、可预期的政策制度环境，鼓励企业进行长期投资，优化资本配置结构，减少因政策性因素导致企业挣快钱的短视行为。建立政府主导、烟农主体、烟草参与、市场运作的烟叶治理工作机制，从源头上禁止烟叶非法流通。</w:t>
      </w:r>
    </w:p>
    <w:p>
      <w:pPr>
        <w:spacing w:line="590" w:lineRule="exact"/>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加强招投标市场监管</w:t>
      </w:r>
      <w:r>
        <w:rPr>
          <w:rFonts w:hint="default" w:ascii="Times New Roman" w:hAnsi="Times New Roman" w:cs="Times New Roman"/>
          <w:color w:val="000000" w:themeColor="text1"/>
          <w:lang w:val="en-US" w:eastAsia="zh-CN"/>
          <w14:textFill>
            <w14:solidFill>
              <w14:schemeClr w14:val="tx1"/>
            </w14:solidFill>
          </w14:textFill>
        </w:rPr>
        <w:t>。确立招标采购等环节权利平等、机会平等、规则平等的市场竞争环境，优化招投标政策，适当调低价格因素在招标评分中的权重，避免“价格战”，使考核对应分值更科学合理，考虑成本控制线实际、原材料涨幅现实及企业可持续发展需求，在满足中烟招投标要求的同时，严格执行国家相关招投标法规，防止出现成本倒挂、质量下降现象。</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27" w:name="_Toc17880"/>
      <w:r>
        <w:rPr>
          <w:rFonts w:hint="default" w:ascii="Times New Roman" w:hAnsi="Times New Roman" w:cs="Times New Roman"/>
          <w:color w:val="000000" w:themeColor="text1"/>
          <w:lang w:val="en-US" w:eastAsia="zh-CN"/>
          <w14:textFill>
            <w14:solidFill>
              <w14:schemeClr w14:val="tx1"/>
            </w14:solidFill>
          </w14:textFill>
        </w:rPr>
        <w:t>（二）深化体制改革</w:t>
      </w:r>
      <w:bookmarkEnd w:id="27"/>
    </w:p>
    <w:p>
      <w:pPr>
        <w:pStyle w:val="20"/>
        <w:rPr>
          <w:rFonts w:hint="default" w:ascii="Times New Roman" w:hAnsi="Times New Roman" w:eastAsia="仿宋_GB2312" w:cs="Times New Roman"/>
          <w:color w:val="000000" w:themeColor="text1"/>
          <w:kern w:val="2"/>
          <w:sz w:val="32"/>
          <w:szCs w:val="24"/>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24"/>
          <w:lang w:val="en-US" w:eastAsia="zh-CN" w:bidi="ar-SA"/>
          <w14:textFill>
            <w14:solidFill>
              <w14:schemeClr w14:val="tx1"/>
            </w14:solidFill>
          </w14:textFill>
        </w:rPr>
        <w:t>推动产业体制变革。</w:t>
      </w:r>
      <w:r>
        <w:rPr>
          <w:rFonts w:hint="default" w:ascii="Times New Roman" w:hAnsi="Times New Roman" w:eastAsia="仿宋_GB2312" w:cs="Times New Roman"/>
          <w:color w:val="000000" w:themeColor="text1"/>
          <w:kern w:val="2"/>
          <w:sz w:val="32"/>
          <w:szCs w:val="24"/>
          <w:lang w:val="en-US" w:eastAsia="zh-CN" w:bidi="ar-SA"/>
          <w14:textFill>
            <w14:solidFill>
              <w14:schemeClr w14:val="tx1"/>
            </w14:solidFill>
          </w14:textFill>
        </w:rPr>
        <w:t>构建行业高质量发展“八大体系”，深化“四统一”改革，深入落实行政执法公示制度、执法全过程记录制度和重大执法决定法制审核制度等“三项制度”。围绕机制体制、税利目标、合作生产、营销体系、科技创新、规范管理、多元化经营和队伍建设等重点领域，实施好品牌管理机制改革、技术创新机制改革、原料管理机制改革、营销管理机制改革、物流管理机制改革和绩效管理机制改革等改革工程，推动行业质量变革、效率变革、动力变革、差异化发展。理顺历史遗留问题，轻装上阵，明晰产权，改革过程中，切实防止集体经济组织内部少数人侵占、支配集体资产。加快构建市场机制有效、工商企业有活力、行政调控有度的经济运行体制。</w:t>
      </w:r>
    </w:p>
    <w:p>
      <w:pPr>
        <w:pStyle w:val="20"/>
        <w:rPr>
          <w:rFonts w:hint="default" w:ascii="Times New Roman" w:hAnsi="Times New Roman" w:eastAsia="仿宋_GB2312" w:cs="Times New Roman"/>
          <w:color w:val="000000" w:themeColor="text1"/>
          <w:kern w:val="2"/>
          <w:sz w:val="32"/>
          <w:szCs w:val="24"/>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24"/>
          <w:lang w:val="en-US" w:eastAsia="zh-CN" w:bidi="ar-SA"/>
          <w14:textFill>
            <w14:solidFill>
              <w14:schemeClr w14:val="tx1"/>
            </w14:solidFill>
          </w14:textFill>
        </w:rPr>
        <w:t>深化企业体制改革。</w:t>
      </w:r>
      <w:r>
        <w:rPr>
          <w:rFonts w:hint="default" w:ascii="Times New Roman" w:hAnsi="Times New Roman" w:eastAsia="仿宋_GB2312" w:cs="Times New Roman"/>
          <w:color w:val="000000" w:themeColor="text1"/>
          <w:kern w:val="2"/>
          <w:sz w:val="32"/>
          <w:szCs w:val="24"/>
          <w:lang w:val="en-US" w:eastAsia="zh-CN" w:bidi="ar-SA"/>
          <w14:textFill>
            <w14:solidFill>
              <w14:schemeClr w14:val="tx1"/>
            </w14:solidFill>
          </w14:textFill>
        </w:rPr>
        <w:t>系统性开展企业制度废、留、改、立工作，完善工作流程，厘清责任清单和权力边界，形成“年年有计划、过程有调研、制定有程序、格式有标准、规范有备案、年度有评估、定期有修改”的长效运行机制，实现制度制定标准、制度管理流程、制度管理框架的有机统一。有序推进权力清单建设，厘清云南中烟、玉溪红塔两级职责边界，明确两级机构审批管理事项节点，形成类别清晰、层级明确、统分相宜的授权管理体系。做好制度建设与流程建设结合文章，努力实现各项工作由职能管理向流程管理的转变。立足资源现状，持续推进精益质量管理。围绕安全、质量、生产、设备、成本、人事、环境等方面开展改善活动，注重活动的成果转化，引导各级职能完善，建立标准化、流程化、规范化、数据化的管理理念和工作程序，综合提升管理效能。</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28" w:name="_Toc30702"/>
      <w:r>
        <w:rPr>
          <w:rFonts w:hint="default" w:ascii="Times New Roman" w:hAnsi="Times New Roman" w:cs="Times New Roman"/>
          <w:color w:val="000000" w:themeColor="text1"/>
          <w:lang w:val="en-US" w:eastAsia="zh-CN"/>
          <w14:textFill>
            <w14:solidFill>
              <w14:schemeClr w14:val="tx1"/>
            </w14:solidFill>
          </w14:textFill>
        </w:rPr>
        <w:t>（三）加强原料保障</w:t>
      </w:r>
      <w:bookmarkEnd w:id="28"/>
    </w:p>
    <w:p>
      <w:pPr>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bCs/>
          <w:color w:val="auto"/>
          <w:kern w:val="2"/>
          <w:sz w:val="32"/>
          <w:szCs w:val="32"/>
          <w:lang w:val="en-US" w:eastAsia="zh-CN" w:bidi="ar-SA"/>
        </w:rPr>
        <w:t>进一步优化烟田布局。</w:t>
      </w:r>
      <w:r>
        <w:rPr>
          <w:rFonts w:hint="eastAsia" w:cs="Times New Roman"/>
          <w:b w:val="0"/>
          <w:bCs w:val="0"/>
          <w:color w:val="auto"/>
          <w:kern w:val="2"/>
          <w:sz w:val="32"/>
          <w:szCs w:val="32"/>
          <w:lang w:val="en-US" w:eastAsia="zh-CN" w:bidi="ar-SA"/>
        </w:rPr>
        <w:t>以“三湖”流域为重点，加快实施土地流转，打造规模化、标准化、智慧化的“第一车间”，确保种植的优质烟叶供应红塔集团，打造玉溪优质特色雪茄烟叶生产基地。</w:t>
      </w:r>
      <w:r>
        <w:rPr>
          <w:rFonts w:hint="default" w:ascii="Times New Roman" w:hAnsi="Times New Roman" w:eastAsia="仿宋_GB2312" w:cs="Times New Roman"/>
          <w:color w:val="auto"/>
          <w:kern w:val="2"/>
          <w:sz w:val="32"/>
          <w:szCs w:val="32"/>
          <w:lang w:val="en-US" w:eastAsia="zh-CN" w:bidi="ar-SA"/>
        </w:rPr>
        <w:t>稳定核心烟区和田烟面积，夯实优质烟叶生产基础</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推动烟叶计划指标、扶持政策、重点技术、烟田设施建设等资源向核心烟区集中、规模连片集中</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以工业品牌需求为导向，综合考虑品种特性、生态条件、技术要求等因素，优化烤烟品种种植结构，满足不同卷烟工业对烟叶原料的差异化需求。</w:t>
      </w:r>
    </w:p>
    <w:p>
      <w:pPr>
        <w:pStyle w:val="2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auto"/>
          <w:kern w:val="2"/>
          <w:sz w:val="32"/>
          <w:szCs w:val="32"/>
          <w:lang w:val="en-US" w:eastAsia="zh-CN" w:bidi="ar-SA"/>
        </w:rPr>
        <w:t>加强原料基地建设。</w:t>
      </w:r>
      <w:r>
        <w:rPr>
          <w:rFonts w:hint="default" w:ascii="Times New Roman" w:hAnsi="Times New Roman" w:eastAsia="仿宋_GB2312" w:cs="Times New Roman"/>
          <w:color w:val="auto"/>
          <w:kern w:val="2"/>
          <w:sz w:val="32"/>
          <w:szCs w:val="32"/>
          <w:lang w:val="en-US" w:eastAsia="zh-CN" w:bidi="ar-SA"/>
        </w:rPr>
        <w:t>全市基本烟田保护面积不低于133.56万亩，年度可植烟面积保持在60万亩左右。按照“总量保障、区域</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保障、结构保障、品种保障、加工保障”的原则，推动红塔集团深度参与烟叶基地建设，深度介入烟叶生产、收购、调拨全过程，把工业的质量需求传导并转化到烟叶全生命周期，通过做优做强烟叶支撑推动玉溪烟草全产业链发展。加大产权投入，稳定云南中烟工业有限责任公司原料基地，规划布点烤烟基地建设。</w:t>
      </w:r>
    </w:p>
    <w:p>
      <w:pPr>
        <w:pStyle w:val="2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加强特种烟种植。</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加大对集团特需品种K326的引导、种植力度，年度维持60万担以上种植规模，继续实施“2260”优质烟叶工程，建构83级工业分级体系，持续推进“翡翠工坊”建设，落实特色品种、优势品种及地方名优晾晒烟种植面积，支持新品种试验、推广和生产，积极争取增加进口烟叶分配比例，确保红塔集</w:t>
      </w:r>
      <w:r>
        <w:rPr>
          <w:rFonts w:hint="default" w:ascii="Times New Roman" w:hAnsi="Times New Roman" w:eastAsia="仿宋_GB2312" w:cs="Times New Roman"/>
          <w:color w:val="auto"/>
          <w:kern w:val="2"/>
          <w:sz w:val="32"/>
          <w:szCs w:val="32"/>
          <w:lang w:val="en-US" w:eastAsia="zh-CN" w:bidi="ar-SA"/>
        </w:rPr>
        <w:t>团烟叶总量、产区和结构需求</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优化核心烟区产业结构，合理发展与烟叶协调互补、相得益彰的高原特色产业</w:t>
      </w:r>
      <w:r>
        <w:rPr>
          <w:rFonts w:hint="eastAsia" w:ascii="Times New Roman" w:hAnsi="Times New Roman"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建立烤烟和非烟作物轮作规划的发展机制，最大程度稳定烟叶质量。</w:t>
      </w:r>
    </w:p>
    <w:p>
      <w:pP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大力发展绿色烟叶。</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整合农业综合开发、农田水利建设、农业产业示范园区建设等项目，推进绿色生态烟叶生产示范区建设，打造绿色生态特色优质烟叶品牌。加大对烟农烟叶生产技术培训和指导力度，提高烟农种植烘烤技术水平，大力推广生物燃料烘烤、电能热衷烤房烘烤，促进烟叶生产提质增效和烟农增收。贯彻落实以农业防治为基础、以生物防治为重点、以物理防治为辅助、以化学防治为补充的烟草有害生物综合防治体系，促进烟叶生产由化学防治为主向绿色防控的转变。大力推广商品有机肥、客土垫塘、增施农家等土壤培肥措施，促进烟叶生产由化肥施用为主向土壤保育转变；推行清洁生产，全面推进烟田废弃地膜回收、农药瓶袋、病叶病株残体、打除的烟花烟杈和不适用鲜烟叶集中收集、统一处理。</w:t>
      </w:r>
    </w:p>
    <w:p>
      <w:pP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加强烟田基础配套设施建设。</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参照《云南省高标准基本烟田建设管理办法（征求意见稿）》建设标准，将《玉溪市烤烟种植区域（基本烟田）规划（2020—2025）》规划的基本烟田地块划分为已达标、不宜建、暂不规划、高标准基本烟田、急需完善设施五类。对规划为高标准基本烟田地块和急需完善设施地块进行烟水、田间道路、土地整理、烟草农用机械购置、存放设施、育</w:t>
      </w:r>
      <w:r>
        <w:rPr>
          <w:rFonts w:hint="default" w:ascii="Times New Roman" w:hAnsi="Times New Roman" w:eastAsia="仿宋_GB2312" w:cs="Times New Roman"/>
          <w:color w:val="auto"/>
          <w:kern w:val="2"/>
          <w:sz w:val="32"/>
          <w:szCs w:val="32"/>
          <w:lang w:val="en-US" w:eastAsia="zh-CN" w:bidi="ar-SA"/>
        </w:rPr>
        <w:t>苗设施、配套设备和烟叶调制设施等基础设施布局配置</w:t>
      </w:r>
      <w:r>
        <w:rPr>
          <w:rFonts w:hint="eastAsia"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完成烟草援建水源项目建设。大力支持烟叶种植全过程数据采集、智能</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化烤烟设施等关键技术和设备的研发推广。</w:t>
      </w:r>
    </w:p>
    <w:p>
      <w:pPr>
        <w:pStyle w:val="2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健全烟叶种植风险保障机制。</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持续加强与地方气象、保险等部门的密切联系，健全烟叶种植风险保障机制，开展好烤烟气象服务预测及灾害预警，有效增强烟叶生产抵御自然灾害的能力，进一步完善烟区防雹网络，根据极端天气情况及时精准实施人工防雹作业，将灾害损失降到最低。</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29" w:name="_Toc1536"/>
      <w:r>
        <w:rPr>
          <w:rFonts w:hint="default" w:ascii="Times New Roman" w:hAnsi="Times New Roman" w:cs="Times New Roman"/>
          <w:color w:val="000000" w:themeColor="text1"/>
          <w:lang w:val="en-US" w:eastAsia="zh-CN"/>
          <w14:textFill>
            <w14:solidFill>
              <w14:schemeClr w14:val="tx1"/>
            </w14:solidFill>
          </w14:textFill>
        </w:rPr>
        <w:t>（四）</w:t>
      </w:r>
      <w:r>
        <w:rPr>
          <w:rFonts w:hint="default" w:ascii="Times New Roman" w:hAnsi="Times New Roman" w:cs="Times New Roman"/>
          <w:b w:val="0"/>
          <w:bCs w:val="0"/>
          <w:color w:val="000000" w:themeColor="text1"/>
          <w:kern w:val="2"/>
          <w:sz w:val="32"/>
          <w:szCs w:val="24"/>
          <w:lang w:val="en-US" w:eastAsia="zh-CN" w:bidi="ar-SA"/>
          <w14:textFill>
            <w14:solidFill>
              <w14:schemeClr w14:val="tx1"/>
            </w14:solidFill>
          </w14:textFill>
        </w:rPr>
        <w:t>加强统筹协调</w:t>
      </w:r>
      <w:bookmarkEnd w:id="29"/>
    </w:p>
    <w:p>
      <w:pPr>
        <w:rPr>
          <w:rFonts w:hint="default" w:ascii="Times New Roman" w:hAnsi="Times New Roman" w:eastAsia="仿宋_GB2312" w:cs="Times New Roman"/>
          <w:color w:val="auto"/>
          <w:kern w:val="2"/>
          <w:sz w:val="32"/>
          <w:szCs w:val="32"/>
          <w:lang w:val="en-US" w:eastAsia="zh-CN" w:bidi="ar-SA"/>
        </w:rPr>
      </w:pPr>
      <w:r>
        <w:rPr>
          <w:rFonts w:hint="eastAsia" w:cs="Times New Roman"/>
          <w:b/>
          <w:bCs/>
          <w:color w:val="auto"/>
          <w:kern w:val="2"/>
          <w:sz w:val="32"/>
          <w:szCs w:val="32"/>
          <w:lang w:val="en-US" w:eastAsia="zh-CN" w:bidi="ar-SA"/>
        </w:rPr>
        <w:t>建立</w:t>
      </w:r>
      <w:r>
        <w:rPr>
          <w:rFonts w:hint="default" w:ascii="Times New Roman" w:hAnsi="Times New Roman" w:eastAsia="仿宋_GB2312" w:cs="Times New Roman"/>
          <w:b/>
          <w:bCs/>
          <w:color w:val="auto"/>
          <w:kern w:val="2"/>
          <w:sz w:val="32"/>
          <w:szCs w:val="32"/>
          <w:lang w:val="en-US" w:eastAsia="zh-CN" w:bidi="ar-SA"/>
        </w:rPr>
        <w:t>产业发展协调</w:t>
      </w:r>
      <w:r>
        <w:rPr>
          <w:rFonts w:hint="eastAsia" w:cs="Times New Roman"/>
          <w:b/>
          <w:bCs/>
          <w:color w:val="auto"/>
          <w:kern w:val="2"/>
          <w:sz w:val="32"/>
          <w:szCs w:val="32"/>
          <w:lang w:val="en-US" w:eastAsia="zh-CN" w:bidi="ar-SA"/>
        </w:rPr>
        <w:t>机制</w:t>
      </w:r>
      <w:r>
        <w:rPr>
          <w:rFonts w:hint="default" w:ascii="Times New Roman" w:hAnsi="Times New Roman" w:eastAsia="仿宋_GB2312" w:cs="Times New Roman"/>
          <w:b/>
          <w:bCs/>
          <w:color w:val="auto"/>
          <w:kern w:val="2"/>
          <w:sz w:val="32"/>
          <w:szCs w:val="32"/>
          <w:lang w:val="en-US" w:eastAsia="zh-CN" w:bidi="ar-SA"/>
        </w:rPr>
        <w:t>。</w:t>
      </w:r>
      <w:r>
        <w:rPr>
          <w:rFonts w:hint="eastAsia" w:cs="Times New Roman"/>
          <w:b/>
          <w:bCs/>
          <w:color w:val="auto"/>
          <w:kern w:val="2"/>
          <w:sz w:val="32"/>
          <w:szCs w:val="32"/>
          <w:lang w:val="en-US" w:eastAsia="zh-CN" w:bidi="ar-SA"/>
        </w:rPr>
        <w:t>成立促进产业发展的协调工作组，</w:t>
      </w:r>
      <w:r>
        <w:rPr>
          <w:rFonts w:hint="default" w:ascii="Times New Roman" w:hAnsi="Times New Roman" w:eastAsia="仿宋_GB2312" w:cs="Times New Roman"/>
          <w:color w:val="auto"/>
          <w:kern w:val="2"/>
          <w:sz w:val="32"/>
          <w:szCs w:val="32"/>
          <w:lang w:val="en-US" w:eastAsia="zh-CN" w:bidi="ar-SA"/>
        </w:rPr>
        <w:t>充分整合本市相关部门在支持烟草及配套产业发展方面的各类资源，集中协调和解决烟草及配套企业在土地、环保、能源、财税、人才、证件办理等方面遇到的重大问题。加大与云南中烟工业有限责任公司的联系、沟通、协调力度，及时对接玉溪卷烟配套企业科技创新、产品研发、经营发展等企业发展动态。</w:t>
      </w:r>
      <w:r>
        <w:rPr>
          <w:rFonts w:hint="eastAsia" w:cs="Times New Roman"/>
          <w:b w:val="0"/>
          <w:bCs w:val="0"/>
          <w:color w:val="auto"/>
          <w:kern w:val="2"/>
          <w:sz w:val="32"/>
          <w:szCs w:val="32"/>
          <w:lang w:val="en-US" w:eastAsia="zh-CN" w:bidi="ar-SA"/>
        </w:rPr>
        <w:t>建立</w:t>
      </w:r>
      <w:r>
        <w:rPr>
          <w:rFonts w:hint="default" w:ascii="Times New Roman" w:hAnsi="Times New Roman" w:eastAsia="仿宋_GB2312" w:cs="Times New Roman"/>
          <w:b w:val="0"/>
          <w:bCs w:val="0"/>
          <w:color w:val="auto"/>
          <w:kern w:val="2"/>
          <w:sz w:val="32"/>
          <w:szCs w:val="32"/>
          <w:lang w:val="en-US" w:eastAsia="zh-CN" w:bidi="ar-SA"/>
        </w:rPr>
        <w:t>统筹联动平台</w:t>
      </w:r>
      <w:r>
        <w:rPr>
          <w:rFonts w:hint="eastAsia" w:cs="Times New Roman"/>
          <w:b w:val="0"/>
          <w:bCs w:val="0"/>
          <w:color w:val="auto"/>
          <w:kern w:val="2"/>
          <w:sz w:val="32"/>
          <w:szCs w:val="32"/>
          <w:lang w:val="en-US" w:eastAsia="zh-CN" w:bidi="ar-SA"/>
        </w:rPr>
        <w:t>、交流共享平台、创新协作平台、国有全资平台、企业服务平台、重点项目平台，打造卷烟配套全产业链“1+5”平台。</w:t>
      </w:r>
    </w:p>
    <w:p>
      <w:pP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auto"/>
          <w:kern w:val="2"/>
          <w:sz w:val="32"/>
          <w:szCs w:val="32"/>
          <w:lang w:val="en-US" w:eastAsia="zh-CN" w:bidi="ar-SA"/>
        </w:rPr>
        <w:t>整合资源、联动发展。</w:t>
      </w:r>
      <w:r>
        <w:rPr>
          <w:rFonts w:hint="default" w:ascii="Times New Roman" w:hAnsi="Times New Roman" w:eastAsia="仿宋_GB2312" w:cs="Times New Roman"/>
          <w:color w:val="auto"/>
          <w:kern w:val="2"/>
          <w:sz w:val="32"/>
          <w:szCs w:val="32"/>
          <w:lang w:val="en-US" w:eastAsia="zh-CN" w:bidi="ar-SA"/>
        </w:rPr>
        <w:t>加强行业发展监测分析，积极关注国内外卷烟及配套产业发展形势，充分调动各县</w:t>
      </w:r>
      <w:r>
        <w:rPr>
          <w:rFonts w:hint="eastAsia"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市、区</w:t>
      </w:r>
      <w:r>
        <w:rPr>
          <w:rFonts w:hint="eastAsia"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政府、各职能部门和各涉烟单位工作积极性，形成推动卷烟及配套产业</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高质量发展的合力。整合技术创新资源，加强卷烟辅料联合实验室建设，强化对接联动，发挥各自优势，实现资源互补共享。引导卷烟及配套企业在制定营销策略、品牌布局规划时将竞争对手、竞争品牌定位为省外卷烟配套企业、省外卷烟品牌，避免内耗。鼓励和引导卷烟配套企业整合资源、生产要素、资金、技术，协同组建行业融资担保公司，对会员配套企业加大技术创新、拓展非烟市场等资金需求提供融资担保。</w:t>
      </w:r>
    </w:p>
    <w:p>
      <w:pPr>
        <w:pStyle w:val="7"/>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加强重大项目服务。</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落实领导干部联系帮扶企业项目制度，实施重大项目（单体项目固定资产投资2000万元以上）“一个项目、一名领导、一套班子、一个工作方案”的“保姆式”“全过程”工作机制，做到事事有人抓，件件有人管，形成上下结合、全面覆</w:t>
      </w:r>
      <w:r>
        <w:rPr>
          <w:rFonts w:hint="default" w:ascii="Times New Roman" w:hAnsi="Times New Roman" w:eastAsia="仿宋_GB2312" w:cs="Times New Roman"/>
          <w:color w:val="auto"/>
          <w:kern w:val="2"/>
          <w:sz w:val="32"/>
          <w:szCs w:val="32"/>
          <w:lang w:val="en-US" w:eastAsia="zh-CN" w:bidi="ar-SA"/>
        </w:rPr>
        <w:t>盖的责任体系。</w:t>
      </w:r>
      <w:r>
        <w:rPr>
          <w:rFonts w:hint="default" w:ascii="Times New Roman" w:hAnsi="Times New Roman" w:cs="Times New Roman"/>
          <w:color w:val="auto"/>
          <w:lang w:val="en-US" w:eastAsia="zh-CN"/>
        </w:rPr>
        <w:t>结合卷烟配套业实际，精心谋划一批战略性、前瞻性的项目，建立“十四五”重大项目库</w:t>
      </w:r>
      <w:r>
        <w:rPr>
          <w:rFonts w:hint="eastAsia" w:ascii="Times New Roman" w:hAnsi="Times New Roman" w:cs="Times New Roman"/>
          <w:color w:val="auto"/>
          <w:lang w:val="en-US" w:eastAsia="zh-CN"/>
        </w:rPr>
        <w:t>（详见附表3）</w:t>
      </w:r>
      <w:r>
        <w:rPr>
          <w:rFonts w:hint="eastAsia" w:cs="Times New Roman"/>
          <w:color w:val="auto"/>
          <w:lang w:val="en-US" w:eastAsia="zh-CN"/>
        </w:rPr>
        <w:t>，</w:t>
      </w:r>
      <w:r>
        <w:rPr>
          <w:rFonts w:hint="default" w:ascii="Times New Roman" w:hAnsi="Times New Roman" w:eastAsia="仿宋_GB2312" w:cs="Times New Roman"/>
          <w:color w:val="auto"/>
          <w:kern w:val="2"/>
          <w:sz w:val="32"/>
          <w:szCs w:val="32"/>
          <w:lang w:val="en-US" w:eastAsia="zh-CN" w:bidi="ar-SA"/>
        </w:rPr>
        <w:t>加强重大项目前期工作组织力度，加快规划项目前期论证进度。协调解决项目审批、资金渠道、土地计划等方面的问题，积极做好勘探、论证和建设条件落实等工作。</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30" w:name="_Toc11390"/>
      <w:r>
        <w:rPr>
          <w:rFonts w:hint="default" w:ascii="Times New Roman" w:hAnsi="Times New Roman" w:cs="Times New Roman"/>
          <w:color w:val="000000" w:themeColor="text1"/>
          <w:lang w:val="en-US" w:eastAsia="zh-CN"/>
          <w14:textFill>
            <w14:solidFill>
              <w14:schemeClr w14:val="tx1"/>
            </w14:solidFill>
          </w14:textFill>
        </w:rPr>
        <w:t>（五）加大政策支持</w:t>
      </w:r>
      <w:bookmarkEnd w:id="30"/>
    </w:p>
    <w:p>
      <w:pPr>
        <w:pStyle w:val="2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优化投入方式。</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用好用足用活中央和省、市相关政策，进一步强化财政科技投入的导向性、聚焦性、前瞻性和公共性作用，优化财政投入方式，着力放大财政资金的引导效应和产出效益。按照扶优抚强的原则，以重大建设项目（详见附表4）为载体，在政策、信贷、担保、税收、贴息、上市融资等方面，加大扶持力度，推进企业快速发展。完善企业退出与补偿机制，协调落实退出企业人员去向安排。积极探索中长期激励机制，引导企业可持续发展。</w:t>
      </w:r>
    </w:p>
    <w:p>
      <w:pPr>
        <w:pStyle w:val="20"/>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加大扶持力度。</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在全市配套企业中，按照销售收入规模、技</w:t>
      </w:r>
      <w:r>
        <w:rPr>
          <w:rFonts w:hint="default" w:ascii="Times New Roman" w:hAnsi="Times New Roman" w:eastAsia="仿宋_GB2312" w:cs="Times New Roman"/>
          <w:color w:val="auto"/>
          <w:kern w:val="2"/>
          <w:sz w:val="32"/>
          <w:szCs w:val="32"/>
          <w:lang w:val="en-US" w:eastAsia="zh-CN" w:bidi="ar-SA"/>
        </w:rPr>
        <w:t>术装备实力等标准</w:t>
      </w:r>
      <w:r>
        <w:rPr>
          <w:rFonts w:hint="eastAsia" w:ascii="Times New Roman" w:hAnsi="Times New Roman" w:cs="Times New Roman"/>
          <w:color w:val="auto"/>
          <w:kern w:val="2"/>
          <w:sz w:val="32"/>
          <w:szCs w:val="32"/>
          <w:lang w:val="en-US" w:eastAsia="zh-CN" w:bidi="ar-SA"/>
        </w:rPr>
        <w:t>对</w:t>
      </w:r>
      <w:r>
        <w:rPr>
          <w:rFonts w:hint="default" w:ascii="Times New Roman" w:hAnsi="Times New Roman" w:eastAsia="仿宋_GB2312" w:cs="Times New Roman"/>
          <w:color w:val="auto"/>
          <w:kern w:val="2"/>
          <w:sz w:val="32"/>
          <w:szCs w:val="32"/>
          <w:lang w:val="en-US" w:eastAsia="zh-CN" w:bidi="ar-SA"/>
        </w:rPr>
        <w:t>企业进行重点培育，</w:t>
      </w:r>
      <w:r>
        <w:rPr>
          <w:rFonts w:hint="eastAsia" w:ascii="Times New Roman" w:hAnsi="Times New Roman" w:cs="Times New Roman"/>
          <w:color w:val="auto"/>
          <w:kern w:val="2"/>
          <w:sz w:val="32"/>
          <w:szCs w:val="32"/>
          <w:lang w:val="en-US" w:eastAsia="zh-CN" w:bidi="ar-SA"/>
        </w:rPr>
        <w:t>扶持</w:t>
      </w:r>
      <w:r>
        <w:rPr>
          <w:rFonts w:hint="default" w:ascii="Times New Roman" w:hAnsi="Times New Roman" w:eastAsia="仿宋_GB2312" w:cs="Times New Roman"/>
          <w:color w:val="auto"/>
          <w:kern w:val="2"/>
          <w:sz w:val="32"/>
          <w:szCs w:val="32"/>
          <w:lang w:val="en-US" w:eastAsia="zh-CN" w:bidi="ar-SA"/>
        </w:rPr>
        <w:t>企业做大做强，加</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大对企业新产品研发、技术改造、重点产品产业化等扶持力度。落实《玉溪市重点产业投资促进优惠政策》，综合考虑项目投资强度、增加值、税收等因素，实施工业用地奖励政策，项目投资强度≥300万元/亩的，最高可奖励基础地价的25%；新投资及现有转型升级技改工业企业，以实际缴纳的税收玉溪地方财政留成部</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分</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为标准，每年按照100%、80%、60%、40%、20%额度最高给予5年扶持；固定资产投资额2000万元以上新项目或现有企业新增投资，按照固定资产投资额2.9‰-7‰最高不超过1000万元予以奖扶；鼓励优势企业上市融资发展，针对成功上市主板予以一次性1600万元奖励，针对成功上市“新三板”“科创板”予以一次性200万元奖励，针对成功进行股权挂牌交易或发行债券的企业予以一次性30万元奖励。</w:t>
      </w:r>
    </w:p>
    <w:p>
      <w:pPr>
        <w:pStyle w:val="2"/>
        <w:bidi w:val="0"/>
        <w:rPr>
          <w:rFonts w:hint="default" w:ascii="Times New Roman" w:hAnsi="Times New Roman" w:cs="Times New Roman"/>
          <w:color w:val="000000" w:themeColor="text1"/>
          <w:lang w:val="en-US" w:eastAsia="zh-CN"/>
          <w14:textFill>
            <w14:solidFill>
              <w14:schemeClr w14:val="tx1"/>
            </w14:solidFill>
          </w14:textFill>
        </w:rPr>
      </w:pPr>
      <w:bookmarkStart w:id="31" w:name="_Toc19925"/>
      <w:r>
        <w:rPr>
          <w:rFonts w:hint="default" w:ascii="Times New Roman" w:hAnsi="Times New Roman" w:cs="Times New Roman"/>
          <w:color w:val="000000" w:themeColor="text1"/>
          <w:lang w:val="en-US" w:eastAsia="zh-CN"/>
          <w14:textFill>
            <w14:solidFill>
              <w14:schemeClr w14:val="tx1"/>
            </w14:solidFill>
          </w14:textFill>
        </w:rPr>
        <w:t>（六）加快人才培引</w:t>
      </w:r>
      <w:bookmarkEnd w:id="31"/>
    </w:p>
    <w:p>
      <w:pP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拓宽人才引进渠道。</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从创新机制入手，不断完善人才引进政策，建立柔性引才机制，完善外来人才管理办法，用好用活院士专家工作站、企业研发中心等平台，通过鼓励各类高层次人才到我市从事兼职、咨询、讲学、科研技术合作和技术指导等方式，引进急需紧缺人才。精心筛选一批急需紧缺岗位，将企业急需紧缺高层次人才需求纳入全市引才计划，给予大力扶持，探索出一条因岗选人才、看本事定薪酬的引才之路。</w:t>
      </w:r>
    </w:p>
    <w:p>
      <w:pP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优化人才结构。</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促进企业人才队伍建设从“增量扩张”向“结构优化”转变，把握好人力资本规模收益递增的特点，全面促进人力资本积累，加强中高端人才培养，打破低收入群体人力资本的代际传递，提高人力资本投入的总体回报。通过“退、养、留、训、转”多措并举来加快卷烟配套富余人员转岗分流。建立一支适合企业高质量发展战略需要的人才队伍，培养具有技术、产品、工艺、模式创新等综合素质的知识型、创新型的人才队伍。</w:t>
      </w:r>
    </w:p>
    <w:p>
      <w:pP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完善人才激励机制。</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通过设立特殊贡献基金、政府特殊津贴，奖励有突出贡献的人才，增强各类人才的荣誉感、获得感和幸福感。进一步改善各类人才的生活待遇，帮助解决工作、学习、生活和配偶就业、子女就学、住房等方面的困难和问题，保障工作条件和生活条件。制定科学合理、便于操作的人才考核细则，做到奖罚分明，激发人才干事创业激情和活力。</w:t>
      </w:r>
    </w:p>
    <w:p>
      <w:pP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强化人才培训提高。</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坚持“学用一致，按需施教”的原则，采取多种形式，抓好人才继续教育培训工作。不断创新培育方式，积极拓宽锻炼渠道，主动搭建发展平台，让储备人才在实践中成长成才。有计划地选送重点人才到高等院校、科研院所深造，培养领军人才、高层次人才。加强对人才的政治思想教育，全方位进行人生观、世界观、价值观教育，培养拼搏精神、奉献精神。</w:t>
      </w:r>
    </w:p>
    <w:p>
      <w:pP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 </w:t>
      </w:r>
    </w:p>
    <w:p>
      <w:pPr>
        <w:pStyle w:val="5"/>
        <w:rPr>
          <w:rFonts w:hint="default"/>
        </w:rPr>
      </w:pPr>
    </w:p>
    <w:p>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hint="default" w:ascii="Times New Roman" w:hAnsi="Times New Roman" w:eastAsia="黑体" w:cs="Times New Roman"/>
          <w:b/>
          <w:bCs/>
          <w:color w:val="000000" w:themeColor="text1"/>
          <w:lang w:val="en-US" w:eastAsia="zh-CN"/>
          <w14:textFill>
            <w14:solidFill>
              <w14:schemeClr w14:val="tx1"/>
            </w14:solidFill>
          </w14:textFill>
        </w:rPr>
      </w:pPr>
      <w:bookmarkStart w:id="32" w:name="_Toc31605"/>
      <w:r>
        <w:rPr>
          <w:rFonts w:hint="default" w:ascii="Times New Roman" w:hAnsi="Times New Roman" w:eastAsia="黑体" w:cs="Times New Roman"/>
          <w:b/>
          <w:bCs/>
          <w:color w:val="000000" w:themeColor="text1"/>
          <w:lang w:val="en-US" w:eastAsia="zh-CN"/>
          <w14:textFill>
            <w14:solidFill>
              <w14:schemeClr w14:val="tx1"/>
            </w14:solidFill>
          </w14:textFill>
        </w:rPr>
        <w:t>附表1：“十三五”期间主要经济指标执行情况表</w:t>
      </w:r>
      <w:bookmarkEnd w:id="32"/>
    </w:p>
    <w:p>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hint="default" w:ascii="Times New Roman" w:hAnsi="Times New Roman" w:eastAsia="黑体" w:cs="Times New Roman"/>
          <w:b/>
          <w:bCs/>
          <w:color w:val="000000" w:themeColor="text1"/>
          <w:lang w:val="en-US" w:eastAsia="zh-CN"/>
          <w14:textFill>
            <w14:solidFill>
              <w14:schemeClr w14:val="tx1"/>
            </w14:solidFill>
          </w14:textFill>
        </w:rPr>
      </w:pPr>
      <w:bookmarkStart w:id="33" w:name="_Toc23199"/>
      <w:r>
        <w:rPr>
          <w:rFonts w:hint="default" w:ascii="Times New Roman" w:hAnsi="Times New Roman" w:eastAsia="黑体" w:cs="Times New Roman"/>
          <w:b/>
          <w:bCs/>
          <w:color w:val="000000" w:themeColor="text1"/>
          <w:lang w:val="en-US" w:eastAsia="zh-CN"/>
          <w14:textFill>
            <w14:solidFill>
              <w14:schemeClr w14:val="tx1"/>
            </w14:solidFill>
          </w14:textFill>
        </w:rPr>
        <w:t>附表2：“十四五”时期预期主要经济指标表</w:t>
      </w:r>
      <w:bookmarkEnd w:id="33"/>
    </w:p>
    <w:p>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hint="default" w:ascii="Times New Roman" w:hAnsi="Times New Roman" w:eastAsia="黑体" w:cs="Times New Roman"/>
          <w:b/>
          <w:bCs/>
          <w:color w:val="000000" w:themeColor="text1"/>
          <w:lang w:val="en-US" w:eastAsia="zh-CN"/>
          <w14:textFill>
            <w14:solidFill>
              <w14:schemeClr w14:val="tx1"/>
            </w14:solidFill>
          </w14:textFill>
        </w:rPr>
      </w:pPr>
      <w:bookmarkStart w:id="34" w:name="_Toc26220"/>
      <w:r>
        <w:rPr>
          <w:rFonts w:hint="default" w:ascii="Times New Roman" w:hAnsi="Times New Roman" w:eastAsia="黑体" w:cs="Times New Roman"/>
          <w:b/>
          <w:bCs/>
          <w:color w:val="000000" w:themeColor="text1"/>
          <w:lang w:val="en-US" w:eastAsia="zh-CN"/>
          <w14:textFill>
            <w14:solidFill>
              <w14:schemeClr w14:val="tx1"/>
            </w14:solidFill>
          </w14:textFill>
        </w:rPr>
        <w:t>附表3：玉溪市“十四五”卷烟及配套产业规划重点项目表</w:t>
      </w:r>
      <w:bookmarkEnd w:id="34"/>
    </w:p>
    <w:p>
      <w:pPr>
        <w:pStyle w:val="7"/>
        <w:ind w:left="0" w:leftChars="0" w:firstLine="0" w:firstLineChars="0"/>
        <w:rPr>
          <w:rFonts w:hint="default"/>
          <w:lang w:val="en-US" w:eastAsia="zh-CN"/>
        </w:rPr>
      </w:pPr>
      <w:bookmarkStart w:id="35" w:name="_Toc14422"/>
      <w:r>
        <w:rPr>
          <w:rFonts w:hint="default" w:ascii="Times New Roman" w:hAnsi="Times New Roman" w:eastAsia="黑体" w:cs="Times New Roman"/>
          <w:b/>
          <w:bCs/>
          <w:color w:val="000000" w:themeColor="text1"/>
          <w:lang w:val="en-US" w:eastAsia="zh-CN"/>
          <w14:textFill>
            <w14:solidFill>
              <w14:schemeClr w14:val="tx1"/>
            </w14:solidFill>
          </w14:textFill>
        </w:rPr>
        <w:t>附表4：</w:t>
      </w:r>
      <w:bookmarkEnd w:id="35"/>
      <w:r>
        <w:rPr>
          <w:rFonts w:hint="eastAsia" w:ascii="Times New Roman" w:hAnsi="Times New Roman" w:eastAsia="黑体" w:cs="Times New Roman"/>
          <w:b/>
          <w:bCs/>
          <w:color w:val="000000" w:themeColor="text1"/>
          <w:lang w:val="en-US" w:eastAsia="zh-CN"/>
          <w14:textFill>
            <w14:solidFill>
              <w14:schemeClr w14:val="tx1"/>
            </w14:solidFill>
          </w14:textFill>
        </w:rPr>
        <w:t>玉溪市打造卷烟配套全产业链“1+5”平台</w:t>
      </w:r>
    </w:p>
    <w:p>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hint="default" w:ascii="Times New Roman" w:hAnsi="Times New Roman" w:eastAsia="黑体" w:cs="Times New Roman"/>
          <w:b/>
          <w:bCs/>
          <w:color w:val="000000" w:themeColor="text1"/>
          <w:lang w:val="en-US" w:eastAsia="zh-CN"/>
          <w14:textFill>
            <w14:solidFill>
              <w14:schemeClr w14:val="tx1"/>
            </w14:solidFill>
          </w14:textFill>
        </w:rPr>
      </w:pPr>
      <w:bookmarkStart w:id="36" w:name="_Toc20248"/>
      <w:r>
        <w:rPr>
          <w:rFonts w:hint="default" w:ascii="Times New Roman" w:hAnsi="Times New Roman" w:eastAsia="黑体" w:cs="Times New Roman"/>
          <w:b/>
          <w:bCs/>
          <w:color w:val="000000" w:themeColor="text1"/>
          <w:lang w:val="en-US" w:eastAsia="zh-CN"/>
          <w14:textFill>
            <w14:solidFill>
              <w14:schemeClr w14:val="tx1"/>
            </w14:solidFill>
          </w14:textFill>
        </w:rPr>
        <w:t>配套政策目录</w:t>
      </w:r>
      <w:bookmarkEnd w:id="36"/>
    </w:p>
    <w:p>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hint="default" w:ascii="Times New Roman" w:hAnsi="Times New Roman" w:eastAsia="黑体" w:cs="Times New Roman"/>
          <w:b/>
          <w:bCs/>
          <w:color w:val="000000" w:themeColor="text1"/>
          <w:lang w:val="en-US" w:eastAsia="zh-CN"/>
          <w14:textFill>
            <w14:solidFill>
              <w14:schemeClr w14:val="tx1"/>
            </w14:solidFill>
          </w14:textFill>
        </w:rPr>
        <w:sectPr>
          <w:footerReference r:id="rId9" w:type="default"/>
          <w:pgSz w:w="11906" w:h="16838"/>
          <w:pgMar w:top="1080" w:right="1440" w:bottom="1080" w:left="1440" w:header="851" w:footer="992" w:gutter="0"/>
          <w:pgNumType w:fmt="decimal"/>
          <w:cols w:space="425" w:num="1"/>
          <w:docGrid w:type="lines" w:linePitch="312" w:charSpace="0"/>
        </w:sectPr>
      </w:pPr>
    </w:p>
    <w:p>
      <w:pPr>
        <w:pStyle w:val="3"/>
        <w:bidi w:val="0"/>
        <w:jc w:val="center"/>
        <w:rPr>
          <w:rFonts w:hint="default" w:ascii="Times New Roman" w:hAnsi="Times New Roman" w:cs="Times New Roman"/>
          <w:color w:val="auto"/>
          <w:lang w:val="en-US" w:eastAsia="zh-CN"/>
        </w:rPr>
      </w:pPr>
      <w:bookmarkStart w:id="37" w:name="_Toc22157"/>
      <w:r>
        <w:rPr>
          <w:rFonts w:hint="default" w:ascii="Times New Roman" w:hAnsi="Times New Roman" w:cs="Times New Roman"/>
          <w:color w:val="auto"/>
          <w:lang w:val="en-US" w:eastAsia="zh-CN"/>
        </w:rPr>
        <w:t>附</w:t>
      </w:r>
      <w:r>
        <w:rPr>
          <w:rFonts w:hint="default" w:ascii="Times New Roman" w:hAnsi="Times New Roman" w:cs="Times New Roman"/>
          <w:color w:val="auto"/>
          <w:lang w:eastAsia="zh-CN"/>
        </w:rPr>
        <w:t>表</w:t>
      </w:r>
      <w:r>
        <w:rPr>
          <w:rFonts w:hint="default" w:ascii="Times New Roman" w:hAnsi="Times New Roman" w:cs="Times New Roman"/>
          <w:color w:val="auto"/>
          <w:lang w:val="en-US" w:eastAsia="zh-CN"/>
        </w:rPr>
        <w:t>1：</w:t>
      </w:r>
      <w:r>
        <w:rPr>
          <w:rFonts w:hint="eastAsia" w:cs="Times New Roman"/>
          <w:color w:val="auto"/>
          <w:lang w:val="en-US" w:eastAsia="zh-CN"/>
        </w:rPr>
        <w:t>卷烟及配套产业</w:t>
      </w:r>
      <w:r>
        <w:rPr>
          <w:rFonts w:hint="default" w:ascii="Times New Roman" w:hAnsi="Times New Roman" w:cs="Times New Roman"/>
          <w:color w:val="auto"/>
          <w:lang w:val="en-US" w:eastAsia="zh-CN"/>
        </w:rPr>
        <w:t>“十三五”期间产业发展情况</w:t>
      </w:r>
      <w:bookmarkEnd w:id="37"/>
    </w:p>
    <w:p>
      <w:pPr>
        <w:pStyle w:val="7"/>
        <w:jc w:val="right"/>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（单位：亿元）</w:t>
      </w:r>
    </w:p>
    <w:tbl>
      <w:tblPr>
        <w:tblStyle w:val="14"/>
        <w:tblW w:w="4992" w:type="pct"/>
        <w:tblInd w:w="0" w:type="dxa"/>
        <w:shd w:val="clear" w:color="auto" w:fill="auto"/>
        <w:tblLayout w:type="autofit"/>
        <w:tblCellMar>
          <w:top w:w="0" w:type="dxa"/>
          <w:left w:w="0" w:type="dxa"/>
          <w:bottom w:w="0" w:type="dxa"/>
          <w:right w:w="0" w:type="dxa"/>
        </w:tblCellMar>
      </w:tblPr>
      <w:tblGrid>
        <w:gridCol w:w="1552"/>
        <w:gridCol w:w="1209"/>
        <w:gridCol w:w="1045"/>
        <w:gridCol w:w="1183"/>
        <w:gridCol w:w="1200"/>
        <w:gridCol w:w="1186"/>
        <w:gridCol w:w="1200"/>
        <w:gridCol w:w="1186"/>
        <w:gridCol w:w="1200"/>
        <w:gridCol w:w="1109"/>
        <w:gridCol w:w="1321"/>
        <w:gridCol w:w="1283"/>
      </w:tblGrid>
      <w:tr>
        <w:tblPrEx>
          <w:shd w:val="clear" w:color="auto" w:fill="auto"/>
          <w:tblCellMar>
            <w:top w:w="0" w:type="dxa"/>
            <w:left w:w="0" w:type="dxa"/>
            <w:bottom w:w="0" w:type="dxa"/>
            <w:right w:w="0" w:type="dxa"/>
          </w:tblCellMar>
        </w:tblPrEx>
        <w:trPr>
          <w:trHeight w:val="280" w:hRule="atLeast"/>
        </w:trPr>
        <w:tc>
          <w:tcPr>
            <w:tcW w:w="52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color w:val="auto"/>
                <w:sz w:val="22"/>
                <w:szCs w:val="22"/>
                <w:u w:val="none"/>
              </w:rPr>
            </w:pPr>
            <w:r>
              <w:rPr>
                <w:rStyle w:val="29"/>
                <w:rFonts w:hint="default" w:ascii="Times New Roman" w:hAnsi="Times New Roman" w:cs="Times New Roman"/>
                <w:color w:val="auto"/>
                <w:lang w:val="en-US" w:eastAsia="zh-CN" w:bidi="ar"/>
              </w:rPr>
              <w:t>指标</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2016年</w:t>
            </w:r>
          </w:p>
        </w:tc>
        <w:tc>
          <w:tcPr>
            <w:tcW w:w="812"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2017年</w:t>
            </w:r>
          </w:p>
        </w:tc>
        <w:tc>
          <w:tcPr>
            <w:tcW w:w="813"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Style w:val="30"/>
                <w:rFonts w:hint="default" w:ascii="Times New Roman" w:hAnsi="Times New Roman" w:eastAsia="宋体" w:cs="Times New Roman"/>
                <w:color w:val="auto"/>
                <w:lang w:val="en-US" w:eastAsia="zh-CN" w:bidi="ar"/>
              </w:rPr>
              <w:t>2018</w:t>
            </w:r>
            <w:r>
              <w:rPr>
                <w:rStyle w:val="29"/>
                <w:rFonts w:hint="default" w:ascii="Times New Roman" w:hAnsi="Times New Roman" w:cs="Times New Roman"/>
                <w:color w:val="auto"/>
                <w:lang w:val="en-US" w:eastAsia="zh-CN" w:bidi="ar"/>
              </w:rPr>
              <w:t>年</w:t>
            </w:r>
          </w:p>
        </w:tc>
        <w:tc>
          <w:tcPr>
            <w:tcW w:w="813"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Style w:val="30"/>
                <w:rFonts w:hint="default" w:ascii="Times New Roman" w:hAnsi="Times New Roman" w:eastAsia="宋体" w:cs="Times New Roman"/>
                <w:color w:val="auto"/>
                <w:lang w:val="en-US" w:eastAsia="zh-CN" w:bidi="ar"/>
              </w:rPr>
              <w:t>2019</w:t>
            </w:r>
            <w:r>
              <w:rPr>
                <w:rStyle w:val="29"/>
                <w:rFonts w:hint="default" w:ascii="Times New Roman" w:hAnsi="Times New Roman" w:cs="Times New Roman"/>
                <w:color w:val="auto"/>
                <w:lang w:val="en-US" w:eastAsia="zh-CN" w:bidi="ar"/>
              </w:rPr>
              <w:t>年</w:t>
            </w:r>
          </w:p>
        </w:tc>
        <w:tc>
          <w:tcPr>
            <w:tcW w:w="828"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2020年</w:t>
            </w:r>
          </w:p>
        </w:tc>
        <w:tc>
          <w:tcPr>
            <w:tcW w:w="432" w:type="pct"/>
            <w:vMerge w:val="restar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年均增速</w:t>
            </w:r>
          </w:p>
        </w:tc>
      </w:tr>
      <w:tr>
        <w:tblPrEx>
          <w:shd w:val="clear" w:color="auto" w:fill="auto"/>
          <w:tblCellMar>
            <w:top w:w="0" w:type="dxa"/>
            <w:left w:w="0" w:type="dxa"/>
            <w:bottom w:w="0" w:type="dxa"/>
            <w:right w:w="0" w:type="dxa"/>
          </w:tblCellMar>
        </w:tblPrEx>
        <w:trPr>
          <w:trHeight w:val="560" w:hRule="atLeast"/>
        </w:trPr>
        <w:tc>
          <w:tcPr>
            <w:tcW w:w="52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rPr>
                <w:rFonts w:hint="default" w:ascii="Times New Roman" w:hAnsi="Times New Roman" w:eastAsia="宋体" w:cs="Times New Roman"/>
                <w:i w:val="0"/>
                <w:color w:val="auto"/>
                <w:sz w:val="22"/>
                <w:szCs w:val="22"/>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数值</w:t>
            </w:r>
          </w:p>
        </w:tc>
        <w:tc>
          <w:tcPr>
            <w:tcW w:w="35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增速</w:t>
            </w:r>
          </w:p>
        </w:tc>
        <w:tc>
          <w:tcPr>
            <w:tcW w:w="40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Style w:val="29"/>
                <w:rFonts w:hint="default" w:ascii="Times New Roman" w:hAnsi="Times New Roman" w:cs="Times New Roman"/>
                <w:color w:val="auto"/>
                <w:lang w:val="en-US" w:eastAsia="zh-CN" w:bidi="ar"/>
              </w:rPr>
              <w:t>数值</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Style w:val="29"/>
                <w:rFonts w:hint="default" w:ascii="Times New Roman" w:hAnsi="Times New Roman" w:cs="Times New Roman"/>
                <w:color w:val="auto"/>
                <w:lang w:val="en-US" w:eastAsia="zh-CN" w:bidi="ar"/>
              </w:rPr>
              <w:t>增速</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Style w:val="29"/>
                <w:rFonts w:hint="default" w:ascii="Times New Roman" w:hAnsi="Times New Roman" w:cs="Times New Roman"/>
                <w:color w:val="auto"/>
                <w:lang w:val="en-US" w:eastAsia="zh-CN" w:bidi="ar"/>
              </w:rPr>
              <w:t>数值</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Style w:val="29"/>
                <w:rFonts w:hint="default" w:ascii="Times New Roman" w:hAnsi="Times New Roman" w:cs="Times New Roman"/>
                <w:color w:val="auto"/>
                <w:lang w:val="en-US" w:eastAsia="zh-CN" w:bidi="ar"/>
              </w:rPr>
              <w:t>增速</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Style w:val="29"/>
                <w:rFonts w:hint="default" w:ascii="Times New Roman" w:hAnsi="Times New Roman" w:cs="Times New Roman"/>
                <w:color w:val="auto"/>
                <w:lang w:val="en-US" w:eastAsia="zh-CN" w:bidi="ar"/>
              </w:rPr>
              <w:t>数值</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Style w:val="29"/>
                <w:rFonts w:hint="default" w:ascii="Times New Roman" w:hAnsi="Times New Roman" w:cs="Times New Roman"/>
                <w:color w:val="auto"/>
                <w:lang w:val="en-US" w:eastAsia="zh-CN" w:bidi="ar"/>
              </w:rPr>
              <w:t>增速</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数值</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增速</w:t>
            </w:r>
          </w:p>
        </w:tc>
        <w:tc>
          <w:tcPr>
            <w:tcW w:w="432" w:type="pct"/>
            <w:vMerge w:val="continue"/>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2"/>
                <w:szCs w:val="22"/>
                <w:u w:val="none"/>
              </w:rPr>
            </w:pPr>
          </w:p>
        </w:tc>
      </w:tr>
      <w:tr>
        <w:tblPrEx>
          <w:shd w:val="clear" w:color="auto" w:fill="auto"/>
          <w:tblCellMar>
            <w:top w:w="0" w:type="dxa"/>
            <w:left w:w="0" w:type="dxa"/>
            <w:bottom w:w="0" w:type="dxa"/>
            <w:right w:w="0" w:type="dxa"/>
          </w:tblCellMar>
        </w:tblPrEx>
        <w:trPr>
          <w:trHeight w:val="28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一、工业总产值</w:t>
            </w:r>
          </w:p>
        </w:tc>
      </w:tr>
      <w:tr>
        <w:tblPrEx>
          <w:shd w:val="clear" w:color="auto" w:fill="auto"/>
          <w:tblCellMar>
            <w:top w:w="0" w:type="dxa"/>
            <w:left w:w="0" w:type="dxa"/>
            <w:bottom w:w="0" w:type="dxa"/>
            <w:right w:w="0" w:type="dxa"/>
          </w:tblCellMar>
        </w:tblPrEx>
        <w:trPr>
          <w:trHeight w:val="560" w:hRule="atLeast"/>
        </w:trPr>
        <w:tc>
          <w:tcPr>
            <w:tcW w:w="5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color w:val="auto"/>
                <w:sz w:val="22"/>
                <w:szCs w:val="22"/>
                <w:u w:val="none"/>
              </w:rPr>
            </w:pPr>
            <w:r>
              <w:rPr>
                <w:rStyle w:val="29"/>
                <w:rFonts w:hint="default" w:ascii="Times New Roman" w:hAnsi="Times New Roman" w:cs="Times New Roman"/>
                <w:color w:val="auto"/>
                <w:lang w:val="en-US" w:eastAsia="zh-CN" w:bidi="ar"/>
              </w:rPr>
              <w:t>卷烟及配套产业</w:t>
            </w:r>
          </w:p>
        </w:tc>
        <w:tc>
          <w:tcPr>
            <w:tcW w:w="4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523.2</w:t>
            </w:r>
          </w:p>
        </w:tc>
        <w:tc>
          <w:tcPr>
            <w:tcW w:w="35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-4.6%</w:t>
            </w:r>
          </w:p>
        </w:tc>
        <w:tc>
          <w:tcPr>
            <w:tcW w:w="40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527.1</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0.7%</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538.4</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2.1%</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548.1</w:t>
            </w:r>
          </w:p>
        </w:tc>
        <w:tc>
          <w:tcPr>
            <w:tcW w:w="4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1.8%</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544.0</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-0.7%</w:t>
            </w:r>
          </w:p>
        </w:tc>
        <w:tc>
          <w:tcPr>
            <w:tcW w:w="432" w:type="pc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eastAsia" w:eastAsia="宋体" w:cs="Times New Roman"/>
                <w:i w:val="0"/>
                <w:color w:val="auto"/>
                <w:kern w:val="0"/>
                <w:sz w:val="22"/>
                <w:szCs w:val="22"/>
                <w:u w:val="none"/>
                <w:lang w:val="en-US" w:eastAsia="zh-CN" w:bidi="ar"/>
              </w:rPr>
              <w:t>1.0</w:t>
            </w:r>
            <w:r>
              <w:rPr>
                <w:rFonts w:hint="default" w:ascii="Times New Roman" w:hAnsi="Times New Roman" w:eastAsia="宋体" w:cs="Times New Roman"/>
                <w:i w:val="0"/>
                <w:color w:val="auto"/>
                <w:kern w:val="0"/>
                <w:sz w:val="22"/>
                <w:szCs w:val="22"/>
                <w:u w:val="none"/>
                <w:lang w:val="en-US" w:eastAsia="zh-CN" w:bidi="ar"/>
              </w:rPr>
              <w:t>%</w:t>
            </w:r>
          </w:p>
        </w:tc>
      </w:tr>
      <w:tr>
        <w:tblPrEx>
          <w:shd w:val="clear" w:color="auto" w:fill="auto"/>
          <w:tblCellMar>
            <w:top w:w="0" w:type="dxa"/>
            <w:left w:w="0" w:type="dxa"/>
            <w:bottom w:w="0" w:type="dxa"/>
            <w:right w:w="0" w:type="dxa"/>
          </w:tblCellMar>
        </w:tblPrEx>
        <w:trPr>
          <w:trHeight w:val="280" w:hRule="atLeast"/>
        </w:trPr>
        <w:tc>
          <w:tcPr>
            <w:tcW w:w="5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卷烟业</w:t>
            </w:r>
          </w:p>
        </w:tc>
        <w:tc>
          <w:tcPr>
            <w:tcW w:w="4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ascii="Times New Roman" w:hAnsi="Times New Roman" w:eastAsia="宋体" w:cs="Times New Roman"/>
                <w:i w:val="0"/>
                <w:color w:val="auto"/>
                <w:kern w:val="0"/>
                <w:sz w:val="22"/>
                <w:szCs w:val="22"/>
                <w:u w:val="none"/>
                <w:lang w:val="en-US" w:eastAsia="zh-CN" w:bidi="ar"/>
              </w:rPr>
              <w:t>482.2</w:t>
            </w:r>
          </w:p>
        </w:tc>
        <w:tc>
          <w:tcPr>
            <w:tcW w:w="35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-5%</w:t>
            </w:r>
          </w:p>
        </w:tc>
        <w:tc>
          <w:tcPr>
            <w:tcW w:w="40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485.3</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0.6%</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500</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3%</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509.1</w:t>
            </w:r>
          </w:p>
        </w:tc>
        <w:tc>
          <w:tcPr>
            <w:tcW w:w="4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1.8%</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ascii="Times New Roman" w:hAnsi="Times New Roman" w:eastAsia="宋体" w:cs="Times New Roman"/>
                <w:i w:val="0"/>
                <w:color w:val="auto"/>
                <w:kern w:val="0"/>
                <w:sz w:val="22"/>
                <w:szCs w:val="22"/>
                <w:u w:val="none"/>
                <w:lang w:val="en-US" w:eastAsia="zh-CN" w:bidi="ar"/>
              </w:rPr>
              <w:t>513.50</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40" w:firstLineChars="20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sz w:val="22"/>
                <w:szCs w:val="22"/>
                <w:u w:val="none"/>
              </w:rPr>
              <w:t>0.8%</w:t>
            </w:r>
          </w:p>
        </w:tc>
        <w:tc>
          <w:tcPr>
            <w:tcW w:w="432" w:type="pc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lang w:val="en-US" w:eastAsia="zh-CN"/>
              </w:rPr>
            </w:pPr>
            <w:r>
              <w:rPr>
                <w:rFonts w:hint="eastAsia" w:eastAsia="宋体" w:cs="Times New Roman"/>
                <w:i w:val="0"/>
                <w:color w:val="auto"/>
                <w:sz w:val="22"/>
                <w:szCs w:val="22"/>
                <w:u w:val="none"/>
                <w:lang w:val="en-US" w:eastAsia="zh-CN"/>
              </w:rPr>
              <w:t>1.3%</w:t>
            </w:r>
          </w:p>
        </w:tc>
      </w:tr>
      <w:tr>
        <w:tblPrEx>
          <w:shd w:val="clear" w:color="auto" w:fill="auto"/>
          <w:tblCellMar>
            <w:top w:w="0" w:type="dxa"/>
            <w:left w:w="0" w:type="dxa"/>
            <w:bottom w:w="0" w:type="dxa"/>
            <w:right w:w="0" w:type="dxa"/>
          </w:tblCellMar>
        </w:tblPrEx>
        <w:trPr>
          <w:trHeight w:val="280" w:hRule="atLeast"/>
        </w:trPr>
        <w:tc>
          <w:tcPr>
            <w:tcW w:w="5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配套业</w:t>
            </w:r>
          </w:p>
        </w:tc>
        <w:tc>
          <w:tcPr>
            <w:tcW w:w="4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ascii="Times New Roman" w:hAnsi="Times New Roman" w:eastAsia="宋体" w:cs="Times New Roman"/>
                <w:i w:val="0"/>
                <w:color w:val="auto"/>
                <w:kern w:val="0"/>
                <w:sz w:val="22"/>
                <w:szCs w:val="22"/>
                <w:u w:val="none"/>
                <w:lang w:val="en-US" w:eastAsia="zh-CN" w:bidi="ar"/>
              </w:rPr>
              <w:t>41.7</w:t>
            </w:r>
          </w:p>
        </w:tc>
        <w:tc>
          <w:tcPr>
            <w:tcW w:w="35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-1%</w:t>
            </w:r>
          </w:p>
        </w:tc>
        <w:tc>
          <w:tcPr>
            <w:tcW w:w="40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41.8</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-0.2%</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38.4</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-8%</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38.6</w:t>
            </w:r>
          </w:p>
        </w:tc>
        <w:tc>
          <w:tcPr>
            <w:tcW w:w="4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0.5%</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ascii="Times New Roman" w:hAnsi="Times New Roman" w:eastAsia="宋体" w:cs="Times New Roman"/>
                <w:i w:val="0"/>
                <w:color w:val="auto"/>
                <w:kern w:val="0"/>
                <w:sz w:val="22"/>
                <w:szCs w:val="22"/>
                <w:u w:val="none"/>
                <w:lang w:val="en-US" w:eastAsia="zh-CN" w:bidi="ar"/>
              </w:rPr>
              <w:t>30.50</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40" w:firstLineChars="200"/>
              <w:jc w:val="center"/>
              <w:textAlignment w:val="center"/>
              <w:rPr>
                <w:rFonts w:hint="default" w:ascii="Times New Roman" w:hAnsi="Times New Roman" w:eastAsia="宋体" w:cs="Times New Roman"/>
                <w:i w:val="0"/>
                <w:color w:val="auto"/>
                <w:sz w:val="22"/>
                <w:szCs w:val="22"/>
                <w:u w:val="none"/>
              </w:rPr>
            </w:pPr>
            <w:r>
              <w:rPr>
                <w:rFonts w:hint="eastAsia" w:eastAsia="宋体" w:cs="Times New Roman"/>
                <w:i w:val="0"/>
                <w:color w:val="auto"/>
                <w:sz w:val="22"/>
                <w:szCs w:val="22"/>
                <w:u w:val="none"/>
                <w:lang w:val="en-US" w:eastAsia="zh-CN"/>
              </w:rPr>
              <w:t>-</w:t>
            </w:r>
            <w:r>
              <w:rPr>
                <w:rFonts w:hint="default" w:ascii="Times New Roman" w:hAnsi="Times New Roman" w:eastAsia="宋体" w:cs="Times New Roman"/>
                <w:i w:val="0"/>
                <w:color w:val="auto"/>
                <w:sz w:val="22"/>
                <w:szCs w:val="22"/>
                <w:u w:val="none"/>
              </w:rPr>
              <w:t>20.9%</w:t>
            </w:r>
          </w:p>
        </w:tc>
        <w:tc>
          <w:tcPr>
            <w:tcW w:w="432" w:type="pc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eastAsia" w:eastAsia="宋体" w:cs="Times New Roman"/>
                <w:i w:val="0"/>
                <w:color w:val="auto"/>
                <w:sz w:val="22"/>
                <w:szCs w:val="22"/>
                <w:u w:val="none"/>
                <w:lang w:val="en-US" w:eastAsia="zh-CN"/>
              </w:rPr>
              <w:t>-6.7%</w:t>
            </w:r>
          </w:p>
        </w:tc>
      </w:tr>
      <w:tr>
        <w:tblPrEx>
          <w:shd w:val="clear" w:color="auto" w:fill="auto"/>
          <w:tblCellMar>
            <w:top w:w="0" w:type="dxa"/>
            <w:left w:w="0" w:type="dxa"/>
            <w:bottom w:w="0" w:type="dxa"/>
            <w:right w:w="0" w:type="dxa"/>
          </w:tblCellMar>
        </w:tblPrEx>
        <w:trPr>
          <w:trHeight w:val="28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二、工业增加值</w:t>
            </w:r>
          </w:p>
        </w:tc>
      </w:tr>
      <w:tr>
        <w:tblPrEx>
          <w:shd w:val="clear" w:color="auto" w:fill="auto"/>
          <w:tblCellMar>
            <w:top w:w="0" w:type="dxa"/>
            <w:left w:w="0" w:type="dxa"/>
            <w:bottom w:w="0" w:type="dxa"/>
            <w:right w:w="0" w:type="dxa"/>
          </w:tblCellMar>
        </w:tblPrEx>
        <w:trPr>
          <w:trHeight w:val="560" w:hRule="atLeast"/>
        </w:trPr>
        <w:tc>
          <w:tcPr>
            <w:tcW w:w="5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color w:val="auto"/>
                <w:sz w:val="22"/>
                <w:szCs w:val="22"/>
                <w:u w:val="none"/>
              </w:rPr>
            </w:pPr>
            <w:r>
              <w:rPr>
                <w:rStyle w:val="29"/>
                <w:rFonts w:hint="default" w:ascii="Times New Roman" w:hAnsi="Times New Roman" w:cs="Times New Roman"/>
                <w:color w:val="auto"/>
                <w:lang w:val="en-US" w:eastAsia="zh-CN" w:bidi="ar"/>
              </w:rPr>
              <w:t>卷烟及配套产业</w:t>
            </w:r>
          </w:p>
        </w:tc>
        <w:tc>
          <w:tcPr>
            <w:tcW w:w="4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401.2</w:t>
            </w:r>
          </w:p>
        </w:tc>
        <w:tc>
          <w:tcPr>
            <w:tcW w:w="35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-4.9%</w:t>
            </w:r>
          </w:p>
        </w:tc>
        <w:tc>
          <w:tcPr>
            <w:tcW w:w="40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403.9</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0.7%</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396.9</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-1.7%</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405.8</w:t>
            </w:r>
          </w:p>
        </w:tc>
        <w:tc>
          <w:tcPr>
            <w:tcW w:w="4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2.2%</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406.7</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0.2%</w:t>
            </w:r>
          </w:p>
        </w:tc>
        <w:tc>
          <w:tcPr>
            <w:tcW w:w="432" w:type="pc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iCs w:val="0"/>
                <w:color w:val="auto"/>
                <w:kern w:val="0"/>
                <w:sz w:val="22"/>
                <w:szCs w:val="22"/>
                <w:u w:val="none"/>
                <w:lang w:val="en-US" w:eastAsia="zh-CN" w:bidi="ar"/>
              </w:rPr>
              <w:t>0.3%</w:t>
            </w:r>
          </w:p>
        </w:tc>
      </w:tr>
      <w:tr>
        <w:tblPrEx>
          <w:shd w:val="clear" w:color="auto" w:fill="auto"/>
          <w:tblCellMar>
            <w:top w:w="0" w:type="dxa"/>
            <w:left w:w="0" w:type="dxa"/>
            <w:bottom w:w="0" w:type="dxa"/>
            <w:right w:w="0" w:type="dxa"/>
          </w:tblCellMar>
        </w:tblPrEx>
        <w:trPr>
          <w:trHeight w:val="90" w:hRule="atLeast"/>
        </w:trPr>
        <w:tc>
          <w:tcPr>
            <w:tcW w:w="5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卷烟业</w:t>
            </w:r>
          </w:p>
        </w:tc>
        <w:tc>
          <w:tcPr>
            <w:tcW w:w="4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ascii="Times New Roman" w:hAnsi="Times New Roman" w:eastAsia="宋体" w:cs="Times New Roman"/>
                <w:i w:val="0"/>
                <w:color w:val="auto"/>
                <w:kern w:val="0"/>
                <w:sz w:val="22"/>
                <w:szCs w:val="22"/>
                <w:u w:val="none"/>
                <w:lang w:val="en-US" w:eastAsia="zh-CN" w:bidi="ar"/>
              </w:rPr>
              <w:t>387.5</w:t>
            </w:r>
          </w:p>
        </w:tc>
        <w:tc>
          <w:tcPr>
            <w:tcW w:w="35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-4%</w:t>
            </w:r>
          </w:p>
        </w:tc>
        <w:tc>
          <w:tcPr>
            <w:tcW w:w="40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390.9</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0.8%</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387.6</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-0.8%</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397.3</w:t>
            </w:r>
          </w:p>
        </w:tc>
        <w:tc>
          <w:tcPr>
            <w:tcW w:w="4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2.5%</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ascii="Times New Roman" w:hAnsi="Times New Roman" w:eastAsia="宋体" w:cs="Times New Roman"/>
                <w:i w:val="0"/>
                <w:color w:val="auto"/>
                <w:kern w:val="0"/>
                <w:sz w:val="22"/>
                <w:szCs w:val="22"/>
                <w:u w:val="none"/>
                <w:lang w:val="en-US" w:eastAsia="zh-CN" w:bidi="ar"/>
              </w:rPr>
              <w:t>398.40</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lang w:val="en-US" w:eastAsia="zh-CN"/>
              </w:rPr>
            </w:pPr>
            <w:r>
              <w:rPr>
                <w:rFonts w:hint="eastAsia" w:eastAsia="宋体" w:cs="Times New Roman"/>
                <w:i w:val="0"/>
                <w:color w:val="auto"/>
                <w:sz w:val="22"/>
                <w:szCs w:val="22"/>
                <w:u w:val="none"/>
                <w:lang w:val="en-US" w:eastAsia="zh-CN"/>
              </w:rPr>
              <w:t>0.3%</w:t>
            </w:r>
          </w:p>
        </w:tc>
        <w:tc>
          <w:tcPr>
            <w:tcW w:w="432" w:type="pc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lang w:val="en-US" w:eastAsia="zh-CN"/>
              </w:rPr>
            </w:pPr>
            <w:r>
              <w:rPr>
                <w:rFonts w:hint="eastAsia" w:eastAsia="宋体" w:cs="Times New Roman"/>
                <w:i w:val="0"/>
                <w:color w:val="auto"/>
                <w:sz w:val="22"/>
                <w:szCs w:val="22"/>
                <w:u w:val="none"/>
                <w:lang w:val="en-US" w:eastAsia="zh-CN"/>
              </w:rPr>
              <w:t>0.6%</w:t>
            </w:r>
          </w:p>
        </w:tc>
      </w:tr>
      <w:tr>
        <w:tblPrEx>
          <w:shd w:val="clear" w:color="auto" w:fill="auto"/>
          <w:tblCellMar>
            <w:top w:w="0" w:type="dxa"/>
            <w:left w:w="0" w:type="dxa"/>
            <w:bottom w:w="0" w:type="dxa"/>
            <w:right w:w="0" w:type="dxa"/>
          </w:tblCellMar>
        </w:tblPrEx>
        <w:trPr>
          <w:trHeight w:val="280" w:hRule="atLeast"/>
        </w:trPr>
        <w:tc>
          <w:tcPr>
            <w:tcW w:w="5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配套业</w:t>
            </w:r>
          </w:p>
        </w:tc>
        <w:tc>
          <w:tcPr>
            <w:tcW w:w="4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default" w:ascii="Times New Roman" w:hAnsi="Times New Roman" w:eastAsia="宋体" w:cs="Times New Roman"/>
                <w:i w:val="0"/>
                <w:color w:val="auto"/>
                <w:kern w:val="0"/>
                <w:sz w:val="22"/>
                <w:szCs w:val="22"/>
                <w:u w:val="none"/>
                <w:lang w:val="en-US" w:eastAsia="zh-CN" w:bidi="ar"/>
              </w:rPr>
              <w:t>15.4</w:t>
            </w:r>
          </w:p>
        </w:tc>
        <w:tc>
          <w:tcPr>
            <w:tcW w:w="35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-1%</w:t>
            </w:r>
          </w:p>
        </w:tc>
        <w:tc>
          <w:tcPr>
            <w:tcW w:w="40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13</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-15.6%</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9.3</w:t>
            </w:r>
          </w:p>
        </w:tc>
        <w:tc>
          <w:tcPr>
            <w:tcW w:w="40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-28.5</w:t>
            </w:r>
          </w:p>
        </w:tc>
        <w:tc>
          <w:tcPr>
            <w:tcW w:w="40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8.5</w:t>
            </w:r>
          </w:p>
        </w:tc>
        <w:tc>
          <w:tcPr>
            <w:tcW w:w="4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eastAsia="宋体" w:cs="Times New Roman"/>
                <w:i w:val="0"/>
                <w:color w:val="auto"/>
                <w:kern w:val="0"/>
                <w:sz w:val="22"/>
                <w:szCs w:val="22"/>
                <w:u w:val="none"/>
                <w:lang w:val="en-US" w:eastAsia="zh-CN" w:bidi="ar"/>
              </w:rPr>
              <w:t>-8.6%</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kern w:val="0"/>
                <w:sz w:val="22"/>
                <w:szCs w:val="22"/>
                <w:u w:val="none"/>
                <w:lang w:val="en-US" w:eastAsia="zh-CN" w:bidi="ar"/>
              </w:rPr>
            </w:pPr>
            <w:r>
              <w:rPr>
                <w:rFonts w:hint="eastAsia" w:ascii="Times New Roman" w:hAnsi="Times New Roman" w:eastAsia="宋体" w:cs="Times New Roman"/>
                <w:i w:val="0"/>
                <w:color w:val="auto"/>
                <w:kern w:val="0"/>
                <w:sz w:val="22"/>
                <w:szCs w:val="22"/>
                <w:u w:val="none"/>
                <w:lang w:val="en-US" w:eastAsia="zh-CN" w:bidi="ar"/>
              </w:rPr>
              <w:t>8.30</w:t>
            </w:r>
          </w:p>
        </w:tc>
        <w:tc>
          <w:tcPr>
            <w:tcW w:w="44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lang w:val="en-US" w:eastAsia="zh-CN"/>
              </w:rPr>
            </w:pPr>
            <w:r>
              <w:rPr>
                <w:rFonts w:hint="eastAsia" w:eastAsia="宋体" w:cs="Times New Roman"/>
                <w:i w:val="0"/>
                <w:color w:val="auto"/>
                <w:sz w:val="22"/>
                <w:szCs w:val="22"/>
                <w:u w:val="none"/>
                <w:lang w:val="en-US" w:eastAsia="zh-CN"/>
              </w:rPr>
              <w:t>-2.4%</w:t>
            </w:r>
          </w:p>
        </w:tc>
        <w:tc>
          <w:tcPr>
            <w:tcW w:w="432" w:type="pct"/>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2"/>
                <w:szCs w:val="22"/>
                <w:u w:val="none"/>
                <w:lang w:val="en-US" w:eastAsia="zh-CN"/>
              </w:rPr>
            </w:pPr>
            <w:r>
              <w:rPr>
                <w:rFonts w:hint="eastAsia" w:eastAsia="宋体" w:cs="Times New Roman"/>
                <w:i w:val="0"/>
                <w:color w:val="auto"/>
                <w:sz w:val="22"/>
                <w:szCs w:val="22"/>
                <w:u w:val="none"/>
                <w:lang w:val="en-US" w:eastAsia="zh-CN"/>
              </w:rPr>
              <w:t>-0.9%</w:t>
            </w:r>
          </w:p>
        </w:tc>
      </w:tr>
    </w:tbl>
    <w:p>
      <w:pPr>
        <w:pStyle w:val="7"/>
        <w:jc w:val="center"/>
        <w:rPr>
          <w:rFonts w:hint="default" w:ascii="Times New Roman" w:hAnsi="Times New Roman" w:eastAsia="黑体" w:cs="Times New Roman"/>
          <w:color w:val="00B0F0"/>
          <w:kern w:val="0"/>
          <w:sz w:val="28"/>
          <w:szCs w:val="28"/>
        </w:rPr>
      </w:pPr>
    </w:p>
    <w:p>
      <w:pPr>
        <w:jc w:val="center"/>
        <w:rPr>
          <w:rFonts w:hint="default" w:ascii="Times New Roman" w:hAnsi="Times New Roman" w:eastAsia="黑体" w:cs="Times New Roman"/>
          <w:color w:val="00B0F0"/>
          <w:lang w:val="en-US" w:eastAsia="zh-CN"/>
        </w:rPr>
        <w:sectPr>
          <w:pgSz w:w="16838" w:h="11906" w:orient="landscape"/>
          <w:pgMar w:top="1440" w:right="1080" w:bottom="1440" w:left="1080" w:header="851" w:footer="992" w:gutter="0"/>
          <w:pgNumType w:fmt="decimal"/>
          <w:cols w:space="425" w:num="1"/>
          <w:docGrid w:type="lines" w:linePitch="312" w:charSpace="0"/>
        </w:sectPr>
      </w:pPr>
    </w:p>
    <w:p>
      <w:pPr>
        <w:pStyle w:val="3"/>
        <w:bidi w:val="0"/>
        <w:jc w:val="center"/>
        <w:rPr>
          <w:rFonts w:hint="default" w:ascii="Times New Roman" w:hAnsi="Times New Roman" w:cs="Times New Roman"/>
          <w:color w:val="auto"/>
          <w:highlight w:val="none"/>
          <w:lang w:val="en-US" w:eastAsia="zh-CN"/>
        </w:rPr>
      </w:pPr>
      <w:bookmarkStart w:id="38" w:name="_Toc13470"/>
      <w:r>
        <w:rPr>
          <w:rFonts w:hint="default" w:ascii="Times New Roman" w:hAnsi="Times New Roman" w:cs="Times New Roman"/>
          <w:color w:val="auto"/>
          <w:highlight w:val="none"/>
          <w:lang w:val="en-US" w:eastAsia="zh-CN"/>
        </w:rPr>
        <w:t>附表2：“十四五”时期预期主要经济指标表</w:t>
      </w:r>
      <w:bookmarkEnd w:id="38"/>
    </w:p>
    <w:tbl>
      <w:tblPr>
        <w:tblStyle w:val="14"/>
        <w:tblpPr w:leftFromText="180" w:rightFromText="180" w:vertAnchor="text" w:horzAnchor="page" w:tblpX="1620" w:tblpY="1436"/>
        <w:tblOverlap w:val="never"/>
        <w:tblW w:w="13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740"/>
        <w:gridCol w:w="1740"/>
        <w:gridCol w:w="1740"/>
        <w:gridCol w:w="1740"/>
        <w:gridCol w:w="1740"/>
        <w:gridCol w:w="1740"/>
        <w:gridCol w:w="1740"/>
        <w:gridCol w:w="1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5" w:hRule="atLeast"/>
        </w:trPr>
        <w:tc>
          <w:tcPr>
            <w:tcW w:w="17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项目</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2020年</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2021年</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2022年</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2023年</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2024年</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2025年</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年均增长率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5" w:hRule="atLeast"/>
        </w:trPr>
        <w:tc>
          <w:tcPr>
            <w:tcW w:w="12180" w:type="dxa"/>
            <w:gridSpan w:val="7"/>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一、工业总产值</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5" w:hRule="atLeast"/>
        </w:trPr>
        <w:tc>
          <w:tcPr>
            <w:tcW w:w="17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卷烟及配套业</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544.0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560.3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577.1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594.4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742.4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1000.0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5" w:hRule="atLeast"/>
        </w:trPr>
        <w:tc>
          <w:tcPr>
            <w:tcW w:w="17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卷烟业（传统）</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513.5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528.9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544.8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561.1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643.4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680.0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5.80%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2" w:hRule="atLeast"/>
        </w:trPr>
        <w:tc>
          <w:tcPr>
            <w:tcW w:w="17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eastAsia" w:ascii="Times New Roman" w:hAnsi="Times New Roman" w:eastAsia="宋体" w:cs="Times New Roman"/>
                <w:i w:val="0"/>
                <w:color w:val="auto"/>
                <w:sz w:val="24"/>
                <w:szCs w:val="24"/>
                <w:highlight w:val="none"/>
                <w:lang w:val="en-US" w:eastAsia="zh-CN" w:bidi="ar"/>
              </w:rPr>
            </w:pPr>
            <w:r>
              <w:rPr>
                <w:rStyle w:val="26"/>
                <w:rFonts w:hint="eastAsia" w:ascii="Times New Roman" w:hAnsi="Times New Roman" w:eastAsia="宋体" w:cs="Times New Roman"/>
                <w:i w:val="0"/>
                <w:color w:val="auto"/>
                <w:sz w:val="24"/>
                <w:szCs w:val="24"/>
                <w:highlight w:val="none"/>
                <w:lang w:val="en-US" w:eastAsia="zh-CN" w:bidi="ar"/>
              </w:rPr>
              <w:t>新型烟草</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0.0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0.0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0.0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0.0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20.0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220.0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eastAsia" w:eastAsia="宋体" w:cs="Times New Roman"/>
                <w:i w:val="0"/>
                <w:color w:val="auto"/>
                <w:sz w:val="24"/>
                <w:szCs w:val="24"/>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2" w:hRule="atLeast"/>
        </w:trPr>
        <w:tc>
          <w:tcPr>
            <w:tcW w:w="17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配套业</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30.5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31.4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32.4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33.3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79.0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100.0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26.80%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5" w:hRule="atLeast"/>
        </w:trPr>
        <w:tc>
          <w:tcPr>
            <w:tcW w:w="12180" w:type="dxa"/>
            <w:gridSpan w:val="7"/>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both"/>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二、工业增加值</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5" w:hRule="atLeast"/>
        </w:trPr>
        <w:tc>
          <w:tcPr>
            <w:tcW w:w="17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卷烟及配套业</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406.7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418.9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431.5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444.4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eastAsia" w:ascii="Times New Roman" w:hAnsi="Times New Roman" w:eastAsia="宋体" w:cs="Times New Roman"/>
                <w:i w:val="0"/>
                <w:color w:val="auto"/>
                <w:sz w:val="24"/>
                <w:szCs w:val="24"/>
                <w:highlight w:val="none"/>
                <w:lang w:val="en-US" w:eastAsia="zh-CN" w:bidi="ar"/>
              </w:rPr>
            </w:pPr>
            <w:r>
              <w:rPr>
                <w:rStyle w:val="26"/>
                <w:rFonts w:hint="eastAsia" w:ascii="Times New Roman" w:hAnsi="Times New Roman" w:eastAsia="宋体" w:cs="Times New Roman"/>
                <w:i w:val="0"/>
                <w:color w:val="auto"/>
                <w:sz w:val="24"/>
                <w:szCs w:val="24"/>
                <w:highlight w:val="none"/>
                <w:lang w:val="en-US" w:eastAsia="zh-CN" w:bidi="ar"/>
              </w:rPr>
              <w:t xml:space="preserve">547.8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700.0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11.50%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rPr>
        <w:tc>
          <w:tcPr>
            <w:tcW w:w="17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卷烟业（传统）</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398.4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410.4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422.7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435.3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eastAsia" w:ascii="Times New Roman" w:hAnsi="Times New Roman" w:eastAsia="宋体" w:cs="Times New Roman"/>
                <w:i w:val="0"/>
                <w:color w:val="auto"/>
                <w:sz w:val="24"/>
                <w:szCs w:val="24"/>
                <w:highlight w:val="none"/>
                <w:lang w:val="en-US" w:eastAsia="zh-CN" w:bidi="ar"/>
              </w:rPr>
            </w:pPr>
            <w:r>
              <w:rPr>
                <w:rStyle w:val="26"/>
                <w:rFonts w:hint="eastAsia" w:ascii="Times New Roman" w:hAnsi="Times New Roman" w:eastAsia="宋体" w:cs="Times New Roman"/>
                <w:i w:val="0"/>
                <w:color w:val="auto"/>
                <w:sz w:val="24"/>
                <w:szCs w:val="24"/>
                <w:highlight w:val="none"/>
                <w:lang w:val="en-US" w:eastAsia="zh-CN" w:bidi="ar"/>
              </w:rPr>
              <w:t xml:space="preserve">512.5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eastAsia" w:ascii="Times New Roman" w:hAnsi="Times New Roman" w:eastAsia="宋体" w:cs="Times New Roman"/>
                <w:i w:val="0"/>
                <w:color w:val="auto"/>
                <w:sz w:val="24"/>
                <w:szCs w:val="24"/>
                <w:highlight w:val="none"/>
                <w:lang w:val="en-US" w:eastAsia="zh-CN" w:bidi="ar"/>
              </w:rPr>
            </w:pPr>
            <w:r>
              <w:rPr>
                <w:rStyle w:val="26"/>
                <w:rFonts w:hint="eastAsia" w:ascii="Times New Roman" w:hAnsi="Times New Roman" w:eastAsia="宋体" w:cs="Times New Roman"/>
                <w:i w:val="0"/>
                <w:color w:val="auto"/>
                <w:sz w:val="24"/>
                <w:szCs w:val="24"/>
                <w:highlight w:val="none"/>
                <w:lang w:val="en-US" w:eastAsia="zh-CN" w:bidi="ar"/>
              </w:rPr>
              <w:t xml:space="preserve">545.8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6.50%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2" w:hRule="atLeast"/>
        </w:trPr>
        <w:tc>
          <w:tcPr>
            <w:tcW w:w="17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eastAsia" w:ascii="Times New Roman" w:hAnsi="Times New Roman" w:eastAsia="宋体" w:cs="Times New Roman"/>
                <w:i w:val="0"/>
                <w:color w:val="auto"/>
                <w:sz w:val="24"/>
                <w:szCs w:val="24"/>
                <w:highlight w:val="none"/>
                <w:lang w:val="en-US" w:eastAsia="zh-CN" w:bidi="ar"/>
              </w:rPr>
            </w:pPr>
            <w:r>
              <w:rPr>
                <w:rStyle w:val="26"/>
                <w:rFonts w:hint="eastAsia" w:ascii="Times New Roman" w:hAnsi="Times New Roman" w:eastAsia="宋体" w:cs="Times New Roman"/>
                <w:i w:val="0"/>
                <w:color w:val="auto"/>
                <w:sz w:val="24"/>
                <w:szCs w:val="24"/>
                <w:highlight w:val="none"/>
                <w:lang w:val="en-US" w:eastAsia="zh-CN" w:bidi="ar"/>
              </w:rPr>
              <w:t>新型烟草</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0.0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0.0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0.0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0.0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eastAsia" w:ascii="Times New Roman" w:hAnsi="Times New Roman" w:eastAsia="宋体" w:cs="Times New Roman"/>
                <w:i w:val="0"/>
                <w:color w:val="auto"/>
                <w:sz w:val="24"/>
                <w:szCs w:val="24"/>
                <w:highlight w:val="none"/>
                <w:lang w:val="en-US" w:eastAsia="zh-CN" w:bidi="ar"/>
              </w:rPr>
            </w:pPr>
            <w:r>
              <w:rPr>
                <w:rStyle w:val="26"/>
                <w:rFonts w:hint="eastAsia" w:ascii="Times New Roman" w:hAnsi="Times New Roman" w:eastAsia="宋体" w:cs="Times New Roman"/>
                <w:i w:val="0"/>
                <w:color w:val="auto"/>
                <w:sz w:val="24"/>
                <w:szCs w:val="24"/>
                <w:highlight w:val="none"/>
                <w:lang w:val="en-US" w:eastAsia="zh-CN" w:bidi="ar"/>
              </w:rPr>
              <w:t xml:space="preserve">14.3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eastAsia" w:ascii="Times New Roman" w:hAnsi="Times New Roman" w:eastAsia="宋体" w:cs="Times New Roman"/>
                <w:i w:val="0"/>
                <w:color w:val="auto"/>
                <w:sz w:val="24"/>
                <w:szCs w:val="24"/>
                <w:highlight w:val="none"/>
                <w:lang w:val="en-US" w:eastAsia="zh-CN" w:bidi="ar"/>
              </w:rPr>
            </w:pPr>
            <w:r>
              <w:rPr>
                <w:rStyle w:val="26"/>
                <w:rFonts w:hint="eastAsia" w:ascii="Times New Roman" w:hAnsi="Times New Roman" w:eastAsia="宋体" w:cs="Times New Roman"/>
                <w:i w:val="0"/>
                <w:color w:val="auto"/>
                <w:sz w:val="24"/>
                <w:szCs w:val="24"/>
                <w:highlight w:val="none"/>
                <w:lang w:val="en-US" w:eastAsia="zh-CN" w:bidi="ar"/>
              </w:rPr>
              <w:t xml:space="preserve">128.2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eastAsia" w:eastAsia="宋体" w:cs="Times New Roman"/>
                <w:i w:val="0"/>
                <w:color w:val="auto"/>
                <w:sz w:val="24"/>
                <w:szCs w:val="24"/>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3" w:hRule="atLeast"/>
        </w:trPr>
        <w:tc>
          <w:tcPr>
            <w:tcW w:w="1740"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配套业</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8.3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8.5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8.8 </w:t>
            </w:r>
          </w:p>
        </w:tc>
        <w:tc>
          <w:tcPr>
            <w:tcW w:w="17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9.1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21.0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 xml:space="preserve">26.0 </w:t>
            </w:r>
          </w:p>
        </w:tc>
        <w:tc>
          <w:tcPr>
            <w:tcW w:w="17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Style w:val="26"/>
                <w:rFonts w:hint="default" w:ascii="Times New Roman" w:hAnsi="Times New Roman" w:eastAsia="宋体" w:cs="Times New Roman"/>
                <w:i w:val="0"/>
                <w:color w:val="auto"/>
                <w:sz w:val="24"/>
                <w:szCs w:val="24"/>
                <w:highlight w:val="none"/>
                <w:lang w:val="en-US" w:eastAsia="zh-CN" w:bidi="ar"/>
              </w:rPr>
            </w:pPr>
            <w:r>
              <w:rPr>
                <w:rStyle w:val="26"/>
                <w:rFonts w:hint="default" w:ascii="Times New Roman" w:hAnsi="Times New Roman" w:eastAsia="宋体" w:cs="Times New Roman"/>
                <w:i w:val="0"/>
                <w:color w:val="auto"/>
                <w:sz w:val="24"/>
                <w:szCs w:val="24"/>
                <w:highlight w:val="none"/>
                <w:lang w:val="en-US" w:eastAsia="zh-CN" w:bidi="ar"/>
              </w:rPr>
              <w:t>25.70%</w:t>
            </w:r>
          </w:p>
        </w:tc>
      </w:tr>
    </w:tbl>
    <w:p>
      <w:pPr>
        <w:pStyle w:val="7"/>
        <w:jc w:val="right"/>
        <w:rPr>
          <w:rFonts w:hint="default" w:ascii="Times New Roman" w:hAnsi="Times New Roman" w:eastAsia="黑体" w:cs="Times New Roman"/>
          <w:color w:val="auto"/>
          <w:kern w:val="2"/>
          <w:sz w:val="32"/>
          <w:szCs w:val="32"/>
          <w:highlight w:val="none"/>
          <w:lang w:val="en-US" w:eastAsia="zh-CN" w:bidi="ar-SA"/>
        </w:rPr>
      </w:pPr>
      <w:r>
        <w:rPr>
          <w:rFonts w:hint="default" w:ascii="Times New Roman" w:hAnsi="Times New Roman" w:eastAsia="黑体" w:cs="Times New Roman"/>
          <w:color w:val="auto"/>
          <w:kern w:val="0"/>
          <w:sz w:val="32"/>
          <w:szCs w:val="32"/>
          <w:highlight w:val="none"/>
        </w:rPr>
        <w:t>（单位：亿元）</w:t>
      </w:r>
    </w:p>
    <w:p>
      <w:pPr>
        <w:rPr>
          <w:rFonts w:hint="default" w:ascii="Times New Roman" w:hAnsi="Times New Roman" w:eastAsia="黑体" w:cs="Times New Roman"/>
          <w:color w:val="00B0F0"/>
          <w:lang w:val="en-US" w:eastAsia="zh-CN"/>
        </w:rPr>
      </w:pPr>
      <w:r>
        <w:rPr>
          <w:rFonts w:hint="default" w:ascii="Times New Roman" w:hAnsi="Times New Roman" w:eastAsia="黑体" w:cs="Times New Roman"/>
          <w:color w:val="00B0F0"/>
          <w:lang w:val="en-US" w:eastAsia="zh-CN"/>
        </w:rPr>
        <w:br w:type="page"/>
      </w:r>
    </w:p>
    <w:p>
      <w:pPr>
        <w:pStyle w:val="3"/>
        <w:bidi w:val="0"/>
        <w:jc w:val="center"/>
        <w:rPr>
          <w:rFonts w:hint="default" w:ascii="Times New Roman" w:hAnsi="Times New Roman" w:cs="Times New Roman"/>
          <w:color w:val="000000" w:themeColor="text1"/>
          <w:lang w:val="en-US" w:eastAsia="zh-CN"/>
          <w14:textFill>
            <w14:solidFill>
              <w14:schemeClr w14:val="tx1"/>
            </w14:solidFill>
          </w14:textFill>
        </w:rPr>
      </w:pPr>
      <w:bookmarkStart w:id="39" w:name="_Toc13934"/>
      <w:r>
        <w:rPr>
          <w:rFonts w:hint="default" w:ascii="Times New Roman" w:hAnsi="Times New Roman" w:cs="Times New Roman"/>
          <w:color w:val="000000" w:themeColor="text1"/>
          <w:lang w:val="en-US" w:eastAsia="zh-CN"/>
          <w14:textFill>
            <w14:solidFill>
              <w14:schemeClr w14:val="tx1"/>
            </w14:solidFill>
          </w14:textFill>
        </w:rPr>
        <w:t>附表3：玉溪市“十四五”卷烟及配套产业规划重点项目表</w:t>
      </w:r>
      <w:bookmarkEnd w:id="39"/>
    </w:p>
    <w:tbl>
      <w:tblPr>
        <w:tblStyle w:val="15"/>
        <w:tblW w:w="14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534"/>
        <w:gridCol w:w="1847"/>
        <w:gridCol w:w="953"/>
        <w:gridCol w:w="903"/>
        <w:gridCol w:w="1087"/>
        <w:gridCol w:w="1439"/>
        <w:gridCol w:w="523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序号</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项目名称</w:t>
            </w:r>
          </w:p>
        </w:tc>
        <w:tc>
          <w:tcPr>
            <w:tcW w:w="184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实施主体</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建设周期</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建设地点</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总投资（万元）</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themeColor="text1"/>
                <w:kern w:val="2"/>
                <w:sz w:val="24"/>
                <w:szCs w:val="24"/>
                <w:vertAlign w:val="baseli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4"/>
                <w:szCs w:val="24"/>
                <w:vertAlign w:val="baseline"/>
                <w:lang w:val="en-US" w:eastAsia="zh-CN" w:bidi="ar-SA"/>
                <w14:textFill>
                  <w14:solidFill>
                    <w14:schemeClr w14:val="tx1"/>
                  </w14:solidFill>
                </w14:textFill>
              </w:rPr>
              <w:t>“十四五”期间预计投资（万元）</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themeColor="text1"/>
                <w:kern w:val="2"/>
                <w:sz w:val="24"/>
                <w:szCs w:val="24"/>
                <w:vertAlign w:val="baseline"/>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建设内容</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themeColor="text1"/>
                <w:kern w:val="2"/>
                <w:sz w:val="24"/>
                <w:szCs w:val="24"/>
                <w:vertAlign w:val="baseline"/>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新增产值（万元）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shd w:val="clear" w:color="auto" w:fill="auto"/>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1</w:t>
            </w:r>
          </w:p>
        </w:tc>
        <w:tc>
          <w:tcPr>
            <w:tcW w:w="1534" w:type="dxa"/>
            <w:shd w:val="clear" w:color="auto" w:fill="auto"/>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kern w:val="2"/>
                <w:sz w:val="21"/>
                <w:szCs w:val="21"/>
                <w:highlight w:val="none"/>
              </w:rPr>
              <w:t>玉溪卷烟厂就地技术改造项目</w:t>
            </w:r>
          </w:p>
        </w:tc>
        <w:tc>
          <w:tcPr>
            <w:tcW w:w="1847" w:type="dxa"/>
            <w:shd w:val="clear" w:color="auto" w:fill="auto"/>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红塔烟草（集团）有限责任公司</w:t>
            </w:r>
          </w:p>
        </w:tc>
        <w:tc>
          <w:tcPr>
            <w:tcW w:w="953" w:type="dxa"/>
            <w:shd w:val="clear" w:color="auto" w:fill="auto"/>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2020</w:t>
            </w:r>
            <w:r>
              <w:rPr>
                <w:rFonts w:hint="eastAsia" w:ascii="Times New Roman" w:hAnsi="Times New Roman" w:eastAsia="宋体" w:cs="Times New Roman"/>
                <w:color w:val="auto"/>
                <w:sz w:val="21"/>
                <w:szCs w:val="21"/>
                <w:highlight w:val="none"/>
                <w:vertAlign w:val="baseline"/>
                <w:lang w:val="en-US" w:eastAsia="zh-CN"/>
              </w:rPr>
              <w:t>年</w:t>
            </w:r>
          </w:p>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-2025</w:t>
            </w:r>
            <w:r>
              <w:rPr>
                <w:rFonts w:hint="eastAsia" w:ascii="Times New Roman" w:hAnsi="Times New Roman" w:eastAsia="宋体" w:cs="Times New Roman"/>
                <w:color w:val="auto"/>
                <w:sz w:val="21"/>
                <w:szCs w:val="21"/>
                <w:highlight w:val="none"/>
                <w:vertAlign w:val="baseline"/>
                <w:lang w:val="en-US" w:eastAsia="zh-CN"/>
              </w:rPr>
              <w:t>年</w:t>
            </w:r>
          </w:p>
        </w:tc>
        <w:tc>
          <w:tcPr>
            <w:tcW w:w="903" w:type="dxa"/>
            <w:shd w:val="clear" w:color="auto" w:fill="auto"/>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kern w:val="2"/>
                <w:sz w:val="21"/>
                <w:szCs w:val="21"/>
                <w:highlight w:val="none"/>
                <w:lang w:eastAsia="zh-CN"/>
              </w:rPr>
              <w:t>高新</w:t>
            </w:r>
            <w:r>
              <w:rPr>
                <w:rFonts w:hint="default" w:ascii="Times New Roman" w:hAnsi="Times New Roman" w:eastAsia="宋体" w:cs="Times New Roman"/>
                <w:color w:val="auto"/>
                <w:kern w:val="2"/>
                <w:sz w:val="21"/>
                <w:szCs w:val="21"/>
                <w:highlight w:val="none"/>
              </w:rPr>
              <w:t>区</w:t>
            </w:r>
          </w:p>
        </w:tc>
        <w:tc>
          <w:tcPr>
            <w:tcW w:w="1087" w:type="dxa"/>
            <w:shd w:val="clear" w:color="auto" w:fill="auto"/>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325800</w:t>
            </w:r>
          </w:p>
        </w:tc>
        <w:tc>
          <w:tcPr>
            <w:tcW w:w="1439" w:type="dxa"/>
            <w:shd w:val="clear" w:color="auto" w:fill="auto"/>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kern w:val="2"/>
                <w:sz w:val="21"/>
                <w:szCs w:val="21"/>
                <w:highlight w:val="none"/>
                <w:vertAlign w:val="baseline"/>
                <w:lang w:val="en-US" w:eastAsia="zh-CN" w:bidi="ar-SA"/>
              </w:rPr>
              <w:t>190000</w:t>
            </w:r>
          </w:p>
        </w:tc>
        <w:tc>
          <w:tcPr>
            <w:tcW w:w="5238" w:type="dxa"/>
            <w:shd w:val="clear" w:color="auto" w:fill="auto"/>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kern w:val="2"/>
                <w:sz w:val="21"/>
                <w:szCs w:val="21"/>
                <w:highlight w:val="none"/>
              </w:rPr>
              <w:t>新建卷包车间，改造原有车间，优化调整制丝、卷烟工艺流程和设备布局，全面提升工艺装备水平和管理水平。新建全厂成品高架库物流系统，改造公用动力及其他设施。按1100亿支（220万箱）/年的生产规模进行规划；其中，一号联合生产工房生产能力700亿支（140万箱）/年，二号联合生产工房生产能力400亿支（80万箱）/年。项目新建扩建建筑面积102980平方米，改造建筑面积146274平方米，购置专卖设备，建成国际一流国内领先的行业卷烟工厂。</w:t>
            </w:r>
          </w:p>
        </w:tc>
        <w:tc>
          <w:tcPr>
            <w:tcW w:w="1407" w:type="dxa"/>
            <w:shd w:val="clear" w:color="auto" w:fill="auto"/>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kern w:val="2"/>
                <w:sz w:val="21"/>
                <w:szCs w:val="21"/>
                <w:highlight w:val="none"/>
                <w:vertAlign w:val="baseline"/>
                <w:lang w:val="en-US" w:eastAsia="zh-CN" w:bidi="ar-SA"/>
              </w:rPr>
              <w:t>300000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kern w:val="2"/>
                <w:sz w:val="21"/>
                <w:szCs w:val="21"/>
                <w14:textFill>
                  <w14:solidFill>
                    <w14:schemeClr w14:val="tx1"/>
                  </w14:solidFill>
                </w14:textFill>
              </w:rPr>
              <w:t>红塔烟草（集团）有限责任公司2020年度烟草专用机械项目</w:t>
            </w:r>
          </w:p>
        </w:tc>
        <w:tc>
          <w:tcPr>
            <w:tcW w:w="184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红塔烟草（集团）有限责任公司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2020年-2024年</w:t>
            </w:r>
          </w:p>
        </w:tc>
        <w:tc>
          <w:tcPr>
            <w:tcW w:w="90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高新</w:t>
            </w:r>
            <w:r>
              <w:rPr>
                <w:rFonts w:hint="default" w:ascii="Times New Roman" w:hAnsi="Times New Roman" w:eastAsia="宋体" w:cs="Times New Roman"/>
                <w:color w:val="000000" w:themeColor="text1"/>
                <w:kern w:val="2"/>
                <w:sz w:val="21"/>
                <w:szCs w:val="21"/>
                <w14:textFill>
                  <w14:solidFill>
                    <w14:schemeClr w14:val="tx1"/>
                  </w14:solidFill>
                </w14:textFill>
              </w:rPr>
              <w:t>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48860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t>42036</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14:textFill>
                  <w14:solidFill>
                    <w14:schemeClr w14:val="tx1"/>
                  </w14:solidFill>
                </w14:textFill>
              </w:rPr>
              <w:t>①5组ZJ119+FX2超高速硬包机组；②.昭通1组ZJ119+F5-550 92异型卷包机组；③玉溪2组YJ27滤嘴接装机；④玉溪2组YF17卷烟储存输送装置；⑤2组中空滤棒成型机组；⑥玉溪1组SJ1513加料机；⑦玉溪1组SJ225B加香机；⑧玉溪8组GPT15H10贮丝柜；⑨玉溪2组加丝机；⑩玉溪2组喷射式真空回潮机；⑪玉溪2组翻箱喂料机；⑫玉溪2组切丝机；⑬玉溪2组仓式喂料机；⑭玉溪1组YB95条外透明纸包装机；⑮楚雄1组KT2切梗丝机；⑯楚雄2组HELIUS 或TS8烟草分选系统；⑰昭通2组烟梗回潮机；⑱昭通2组YB95条外透明纸包装机</w:t>
            </w: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3</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eastAsia="zh-CN"/>
                <w14:textFill>
                  <w14:solidFill>
                    <w14:schemeClr w14:val="tx1"/>
                  </w14:solidFill>
                </w14:textFill>
              </w:rPr>
            </w:pPr>
            <w:r>
              <w:rPr>
                <w:rFonts w:hint="default" w:ascii="Times New Roman" w:hAnsi="Times New Roman" w:eastAsia="宋体" w:cs="Times New Roman"/>
                <w:color w:val="000000" w:themeColor="text1"/>
                <w:kern w:val="2"/>
                <w:sz w:val="21"/>
                <w:szCs w:val="21"/>
                <w14:textFill>
                  <w14:solidFill>
                    <w14:schemeClr w14:val="tx1"/>
                  </w14:solidFill>
                </w14:textFill>
              </w:rPr>
              <w:t>玉溪卷烟厂</w:t>
            </w: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“十四五”专卖设备购置项目</w:t>
            </w:r>
          </w:p>
        </w:tc>
        <w:tc>
          <w:tcPr>
            <w:tcW w:w="184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红塔烟草（集团）有限责任公司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2021年-2025年</w:t>
            </w:r>
          </w:p>
        </w:tc>
        <w:tc>
          <w:tcPr>
            <w:tcW w:w="90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高新</w:t>
            </w:r>
            <w:r>
              <w:rPr>
                <w:rFonts w:hint="default" w:ascii="Times New Roman" w:hAnsi="Times New Roman" w:eastAsia="宋体" w:cs="Times New Roman"/>
                <w:color w:val="000000" w:themeColor="text1"/>
                <w:kern w:val="2"/>
                <w:sz w:val="21"/>
                <w:szCs w:val="21"/>
                <w14:textFill>
                  <w14:solidFill>
                    <w14:schemeClr w14:val="tx1"/>
                  </w14:solidFill>
                </w14:textFill>
              </w:rPr>
              <w:t>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100000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t>100000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购置玉溪卷烟厂制丝、卷包、嘴梓成型设备。</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t>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4</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eastAsia="zh-CN"/>
                <w14:textFill>
                  <w14:solidFill>
                    <w14:schemeClr w14:val="tx1"/>
                  </w14:solidFill>
                </w14:textFill>
              </w:rPr>
            </w:pP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集团本部加热不燃烧卷烟加工制造基地建设项目</w:t>
            </w:r>
          </w:p>
        </w:tc>
        <w:tc>
          <w:tcPr>
            <w:tcW w:w="184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红塔烟草（集团）有限责任公司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2022年-2028年</w:t>
            </w:r>
          </w:p>
        </w:tc>
        <w:tc>
          <w:tcPr>
            <w:tcW w:w="90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eastAsia="zh-CN"/>
                <w14:textFill>
                  <w14:solidFill>
                    <w14:schemeClr w14:val="tx1"/>
                  </w14:solidFill>
                </w14:textFill>
              </w:rPr>
            </w:pP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高新区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102000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t>50000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按总体规划、分布实施原则规划建设云南中烟加热不燃烧卷烟加工制造基地，建设</w:t>
            </w:r>
            <w:r>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t>25万箱/年加热不燃烧卷烟用薄片生产线，用于云南中烟加热卷烟薄片生产并兼顾行业加热卷烟薄片试验放样和定性产品薄片生产；建设25万箱/年加热卷包成型卷烟生产线。</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t>250000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5</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kern w:val="2"/>
                <w:sz w:val="21"/>
                <w:szCs w:val="21"/>
                <w14:textFill>
                  <w14:solidFill>
                    <w14:schemeClr w14:val="tx1"/>
                  </w14:solidFill>
                </w14:textFill>
              </w:rPr>
              <w:t>玉溪卷烟厂复烤二车间原地技术改造项目</w:t>
            </w:r>
          </w:p>
        </w:tc>
        <w:tc>
          <w:tcPr>
            <w:tcW w:w="184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红塔烟草（集团）有限责任公司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2016年-2025年</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kern w:val="2"/>
                <w:sz w:val="21"/>
                <w:szCs w:val="21"/>
                <w14:textFill>
                  <w14:solidFill>
                    <w14:schemeClr w14:val="tx1"/>
                  </w14:solidFill>
                </w14:textFill>
              </w:rPr>
              <w:t>江川区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39622</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t>29800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14:textFill>
                  <w14:solidFill>
                    <w14:schemeClr w14:val="tx1"/>
                  </w14:solidFill>
                </w14:textFill>
              </w:rPr>
              <w:t>项目占地面积186943</w:t>
            </w: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w:t>
            </w:r>
            <w:r>
              <w:rPr>
                <w:rFonts w:hint="default" w:ascii="Times New Roman" w:hAnsi="Times New Roman" w:eastAsia="宋体" w:cs="Times New Roman"/>
                <w:color w:val="000000" w:themeColor="text1"/>
                <w:kern w:val="2"/>
                <w:sz w:val="21"/>
                <w:szCs w:val="21"/>
                <w14:textFill>
                  <w14:solidFill>
                    <w14:schemeClr w14:val="tx1"/>
                  </w14:solidFill>
                </w14:textFill>
              </w:rPr>
              <w:t>，建筑面积27300㎡，主要建筑物：验级工房、打叶复烤联合工房等，项目完成后可年复烤烟叶60万担。</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6</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kern w:val="2"/>
                <w:sz w:val="21"/>
                <w:szCs w:val="21"/>
                <w14:textFill>
                  <w14:solidFill>
                    <w14:schemeClr w14:val="tx1"/>
                  </w14:solidFill>
                </w14:textFill>
              </w:rPr>
              <w:t>2018年第二批烟草专用机械购置计划 (国烟计〔2018〕202号红塔烟草(集团)有限责任公司)（玉溪）</w:t>
            </w:r>
          </w:p>
        </w:tc>
        <w:tc>
          <w:tcPr>
            <w:tcW w:w="184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红塔烟草（集团）有限责任公司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2018年-2025年</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14:textFill>
                  <w14:solidFill>
                    <w14:schemeClr w14:val="tx1"/>
                  </w14:solidFill>
                </w14:textFill>
              </w:rPr>
            </w:pP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高新</w:t>
            </w:r>
            <w:r>
              <w:rPr>
                <w:rFonts w:hint="default" w:ascii="Times New Roman" w:hAnsi="Times New Roman" w:eastAsia="宋体" w:cs="Times New Roman"/>
                <w:color w:val="000000" w:themeColor="text1"/>
                <w:kern w:val="2"/>
                <w:sz w:val="21"/>
                <w:szCs w:val="21"/>
                <w14:textFill>
                  <w14:solidFill>
                    <w14:schemeClr w14:val="tx1"/>
                  </w14:solidFill>
                </w14:textFill>
              </w:rPr>
              <w:t>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70070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t>45000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14:textFill>
                  <w14:solidFill>
                    <w14:schemeClr w14:val="tx1"/>
                  </w14:solidFill>
                </w14:textFill>
              </w:rPr>
              <w:t>玉溪卷烟厂购置①2组YL43A复合滤棒成型机、②2组YJ36装盘机、③3组ZJ17(细支）卷接机组、④2组ZB45B(细支烟)包装机组、⑤6组ZJ17(中支)卷接机、⑥2组ZB48(中支烟双铝包)包装机组、⑦2组GIMATT Flex A Line包装机、⑧1组ZJ17(短支)卷接机、⑨5组YF17烟支储存输送装置、⑩1组ZF19烟支储存输送装置、⑪2组YF25A(细支)滤棒发射机、⑫7组YF215A(细支)滤棒接收机、⑬4组YB111（细支）卸盘机、⑭5组YF26滤棒接收装置、⑮4组KDF 5MF复合滤棒成型机组、⑯5组VENTIS-C12卷包联结设备</w:t>
            </w:r>
            <w:r>
              <w:rPr>
                <w:rFonts w:hint="default" w:ascii="Times New Roman" w:hAnsi="Times New Roman" w:eastAsia="宋体" w:cs="Times New Roman"/>
                <w:color w:val="000000" w:themeColor="text1"/>
                <w:kern w:val="2"/>
                <w:sz w:val="21"/>
                <w:szCs w:val="21"/>
                <w:lang w:eastAsia="zh-CN"/>
                <w14:textFill>
                  <w14:solidFill>
                    <w14:schemeClr w14:val="tx1"/>
                  </w14:solidFill>
                </w14:textFill>
              </w:rPr>
              <w:t>。</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t>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7</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kern w:val="2"/>
                <w:sz w:val="21"/>
                <w:szCs w:val="21"/>
                <w:vertAlign w:val="baseline"/>
                <w:lang w:val="en-US" w:eastAsia="zh-CN" w:bidi="ar-SA"/>
              </w:rPr>
              <w:t>年产7万吨BOPP薄膜改扩建项目</w:t>
            </w:r>
          </w:p>
        </w:tc>
        <w:tc>
          <w:tcPr>
            <w:tcW w:w="184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云南红塔塑胶有限公司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2020年-2021年</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kern w:val="2"/>
                <w:sz w:val="21"/>
                <w:szCs w:val="21"/>
                <w:vertAlign w:val="baseline"/>
                <w:lang w:val="en-US" w:eastAsia="zh-CN" w:bidi="ar-SA"/>
              </w:rPr>
              <w:t>高新区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eastAsia" w:ascii="Times New Roman" w:hAnsi="Times New Roman" w:eastAsia="宋体" w:cs="Times New Roman"/>
                <w:color w:val="auto"/>
                <w:sz w:val="21"/>
                <w:szCs w:val="21"/>
                <w:vertAlign w:val="baseline"/>
                <w:lang w:val="en-US" w:eastAsia="zh-CN"/>
              </w:rPr>
              <w:t>36</w:t>
            </w:r>
            <w:r>
              <w:rPr>
                <w:rFonts w:hint="default" w:ascii="Times New Roman" w:hAnsi="Times New Roman" w:eastAsia="宋体" w:cs="Times New Roman"/>
                <w:color w:val="auto"/>
                <w:sz w:val="21"/>
                <w:szCs w:val="21"/>
                <w:vertAlign w:val="baseline"/>
                <w:lang w:val="en-US" w:eastAsia="zh-CN"/>
              </w:rPr>
              <w:t>000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5000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项目占地110亩，改造提升技术，购置大分切机1台，小分切机3台，配套国产配料罐10只及其他配套设备，技改搬迁原来的两条生产线并新增一条生产线，共建设平面拉伸功能薄膜生产线3条，形成年产7万吨功能性薄膜的生产能力。</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8</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设备改造提升项目</w:t>
            </w:r>
          </w:p>
        </w:tc>
        <w:tc>
          <w:tcPr>
            <w:tcW w:w="184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lang w:val="en-US" w:eastAsia="zh-CN"/>
              </w:rPr>
              <w:t>云南红塔彩印包装有限公司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2020年-2024年</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lang w:eastAsia="zh-CN"/>
              </w:rPr>
              <w:t>通海县</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1120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1120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lang w:eastAsia="zh-CN"/>
              </w:rPr>
              <w:t>项目在原厂区增加</w:t>
            </w:r>
            <w:r>
              <w:rPr>
                <w:rFonts w:hint="default" w:ascii="Times New Roman" w:hAnsi="Times New Roman" w:eastAsia="宋体" w:cs="Times New Roman"/>
                <w:color w:val="auto"/>
                <w:kern w:val="2"/>
                <w:sz w:val="21"/>
                <w:szCs w:val="21"/>
              </w:rPr>
              <w:t>冷转移工艺烫金机、海德堡6+1胶印机红外干燥改UV干燥、博斯特凹印机增加UV干燥、增加一台平压平双工位烫金机</w:t>
            </w:r>
            <w:r>
              <w:rPr>
                <w:rFonts w:hint="default" w:ascii="Times New Roman" w:hAnsi="Times New Roman" w:eastAsia="宋体" w:cs="Times New Roman"/>
                <w:color w:val="auto"/>
                <w:kern w:val="2"/>
                <w:sz w:val="21"/>
                <w:szCs w:val="21"/>
                <w:lang w:eastAsia="zh-CN"/>
              </w:rPr>
              <w:t>等设备，提升企业生产能力。</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9</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水松纸生产及水松纸印刷专用油墨加工项目</w:t>
            </w:r>
          </w:p>
        </w:tc>
        <w:tc>
          <w:tcPr>
            <w:tcW w:w="184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云南玉溪水松纸厂（玉溪思润印刷有限公司）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2019年-2022年</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红塔区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25000</w:t>
            </w:r>
          </w:p>
        </w:tc>
        <w:tc>
          <w:tcPr>
            <w:tcW w:w="1439" w:type="dxa"/>
            <w:vAlign w:val="center"/>
          </w:tcPr>
          <w:p>
            <w:pPr>
              <w:pStyle w:val="2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bidi="ar-SA"/>
              </w:rPr>
              <w:t>20000</w:t>
            </w:r>
          </w:p>
        </w:tc>
        <w:tc>
          <w:tcPr>
            <w:tcW w:w="5238" w:type="dxa"/>
            <w:vAlign w:val="center"/>
          </w:tcPr>
          <w:p>
            <w:pPr>
              <w:pStyle w:val="2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bidi="ar-SA"/>
              </w:rPr>
            </w:pPr>
            <w:r>
              <w:rPr>
                <w:rFonts w:hint="default" w:ascii="Times New Roman" w:hAnsi="Times New Roman" w:eastAsia="宋体" w:cs="Times New Roman"/>
                <w:color w:val="auto"/>
                <w:sz w:val="21"/>
                <w:szCs w:val="21"/>
                <w:lang w:val="en-US" w:eastAsia="zh-CN"/>
              </w:rPr>
              <w:t>项目新建6条国内先进技术水平的水松纸（烟用接装纸）生产线，设计生产能力为9000吨/年；新建1条与水松纸生产相配套的专用油墨加工生产线，设计生产能力为3200吨/年。</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10</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rPr>
              <w:t>十色凹印在线全自动喷码系统集成创新技术改造项目</w:t>
            </w:r>
          </w:p>
        </w:tc>
        <w:tc>
          <w:tcPr>
            <w:tcW w:w="184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rPr>
              <w:t>云南通印股份有限公司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2020年-2021年</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rPr>
              <w:t>通海</w:t>
            </w:r>
            <w:r>
              <w:rPr>
                <w:rFonts w:hint="default" w:ascii="Times New Roman" w:hAnsi="Times New Roman" w:eastAsia="宋体" w:cs="Times New Roman"/>
                <w:color w:val="auto"/>
                <w:kern w:val="2"/>
                <w:sz w:val="21"/>
                <w:szCs w:val="21"/>
                <w:lang w:eastAsia="zh-CN"/>
              </w:rPr>
              <w:t>县</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700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vertAlign w:val="baseline"/>
                <w:lang w:val="en-US" w:eastAsia="zh-CN" w:bidi="ar-SA"/>
              </w:rPr>
              <w:t>500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kern w:val="2"/>
                <w:sz w:val="21"/>
                <w:szCs w:val="21"/>
                <w:lang w:eastAsia="zh-CN"/>
              </w:rPr>
              <w:t>项目</w:t>
            </w:r>
            <w:r>
              <w:rPr>
                <w:rFonts w:hint="default" w:ascii="Times New Roman" w:hAnsi="Times New Roman" w:eastAsia="宋体" w:cs="Times New Roman"/>
                <w:color w:val="auto"/>
                <w:kern w:val="2"/>
                <w:sz w:val="21"/>
                <w:szCs w:val="21"/>
              </w:rPr>
              <w:t>引进英国多米诺UV数码喷墨打印系统（型号K6001UV），与公司原有十色凹印设备集成创新，实现在印刷完工后收卷前喷印可变二维码（一物一码），并对所喷印的二维码正确性进行检测，印刷喷码两道工序同步完成，提升产品合格率。</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11</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rPr>
              <w:t>印刷包装生产项目</w:t>
            </w:r>
          </w:p>
        </w:tc>
        <w:tc>
          <w:tcPr>
            <w:tcW w:w="184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云南嘉科包装科技股份有限公司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2020年-2021年</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rPr>
              <w:t>高新区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40000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rPr>
              <w:t>10000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eastAsia="zh-CN"/>
              </w:rPr>
              <w:t>项目占地51亩，购置博斯特九色凹印机、塞鲁迪八色凹印机、高宝7+1、高宝6+1等先进设备，建设2生产线，建成烟标生产线及包装盒生产线，年产5亿的生产能力。</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eastAsia="宋体" w:cs="Times New Roman"/>
                <w:color w:val="auto"/>
                <w:sz w:val="21"/>
                <w:szCs w:val="21"/>
                <w:vertAlign w:val="baseline"/>
                <w:lang w:val="en-US" w:eastAsia="zh-CN"/>
              </w:rPr>
              <w:t>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12</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rPr>
              <w:t>整体搬迁改造年生产60万箱卷烟商标生产线项目</w:t>
            </w:r>
          </w:p>
        </w:tc>
        <w:tc>
          <w:tcPr>
            <w:tcW w:w="184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rPr>
              <w:t>云南恩捷新材料股份有限公司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vertAlign w:val="baseline"/>
                <w:lang w:val="en-US" w:eastAsia="zh-CN"/>
              </w:rPr>
              <w:t>2021年</w:t>
            </w:r>
            <w:r>
              <w:rPr>
                <w:rFonts w:hint="eastAsia" w:ascii="Times New Roman" w:hAnsi="Times New Roman" w:eastAsia="宋体" w:cs="Times New Roman"/>
                <w:color w:val="auto"/>
                <w:sz w:val="21"/>
                <w:szCs w:val="21"/>
                <w:highlight w:val="none"/>
                <w:vertAlign w:val="baseline"/>
                <w:lang w:val="en-US" w:eastAsia="zh-CN"/>
              </w:rPr>
              <w:t>-</w:t>
            </w:r>
            <w:r>
              <w:rPr>
                <w:rFonts w:hint="default" w:ascii="Times New Roman" w:hAnsi="Times New Roman" w:eastAsia="宋体" w:cs="Times New Roman"/>
                <w:color w:val="auto"/>
                <w:sz w:val="21"/>
                <w:szCs w:val="21"/>
                <w:highlight w:val="none"/>
                <w:vertAlign w:val="baseline"/>
                <w:lang w:val="en-US" w:eastAsia="zh-CN"/>
              </w:rPr>
              <w:t>2023年</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高新区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vertAlign w:val="baseline"/>
                <w:lang w:val="en-US" w:eastAsia="zh-CN"/>
              </w:rPr>
              <w:t>25000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25000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rPr>
              <w:t>整体搬迁改造年生产60万箱卷烟商标生产线一条。项目总规划用地80亩，主要建设年产</w:t>
            </w:r>
            <w:r>
              <w:rPr>
                <w:rFonts w:hint="eastAsia" w:ascii="Times New Roman" w:hAnsi="Times New Roman" w:eastAsia="宋体" w:cs="Times New Roman"/>
                <w:color w:val="auto"/>
                <w:kern w:val="2"/>
                <w:sz w:val="21"/>
                <w:szCs w:val="21"/>
                <w:highlight w:val="none"/>
                <w:lang w:val="en-US" w:eastAsia="zh-CN"/>
              </w:rPr>
              <w:t>6</w:t>
            </w:r>
            <w:r>
              <w:rPr>
                <w:rFonts w:hint="default" w:ascii="Times New Roman" w:hAnsi="Times New Roman" w:eastAsia="宋体" w:cs="Times New Roman"/>
                <w:color w:val="auto"/>
                <w:kern w:val="2"/>
                <w:sz w:val="21"/>
                <w:szCs w:val="21"/>
                <w:highlight w:val="none"/>
                <w:lang w:val="en-US" w:eastAsia="zh-CN"/>
              </w:rPr>
              <w:t>0万箱卷烟商标生产线一条，年产2万吨的特种纸生产线一条，年产1500万米的电化铝生产线一条。</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vertAlign w:val="baseline"/>
                <w:lang w:val="en-US" w:eastAsia="zh-CN" w:bidi="ar-SA"/>
              </w:rPr>
            </w:pPr>
            <w:r>
              <w:rPr>
                <w:rFonts w:hint="eastAsia" w:ascii="Times New Roman" w:hAnsi="Times New Roman" w:eastAsia="宋体" w:cs="Times New Roman"/>
                <w:color w:val="auto"/>
                <w:sz w:val="21"/>
                <w:szCs w:val="21"/>
                <w:highlight w:val="none"/>
                <w:vertAlign w:val="baseline"/>
                <w:lang w:val="en-US" w:eastAsia="zh-CN"/>
              </w:rPr>
              <w:t>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13</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红塔集团玉溪卷烟厂加热卷烟加工制造基地建设和加热卷烟专用再造烟叶生产基地项目</w:t>
            </w:r>
          </w:p>
        </w:tc>
        <w:tc>
          <w:tcPr>
            <w:tcW w:w="184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红塔烟草（集团）有限责任公司</w:t>
            </w: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2021年-2025年</w:t>
            </w: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高新区</w:t>
            </w: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87800</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87800</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kern w:val="2"/>
                <w:sz w:val="21"/>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国内尚不允许出售加热卷烟，只能全部出口国外，按照中烟“深入实施新型烟草制品研制重大专项，超前研发储备一批战略性产品，稳步提升新型烟草制品产业化能力”部署，玉溪卷烟厂加快加热卷烟布局，完成3条与菲莫国际同等水平的高速卷包生产线，具备10万箱/年中心加热卷烟卷包产能，拥有1条周向加热卷包生产线，具备2.5万/年周向加热卷烟卷包产能，初步具备加热卷烟加工制造基地软硬件条件。目前，正在开展规划、可研报告等前期工作，待国家烟草专卖政策明朗后，按照相关规定开展项目推进工作。</w:t>
            </w: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合计</w:t>
            </w:r>
          </w:p>
        </w:tc>
        <w:tc>
          <w:tcPr>
            <w:tcW w:w="1534"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14:textFill>
                  <w14:solidFill>
                    <w14:schemeClr w14:val="tx1"/>
                  </w14:solidFill>
                </w14:textFill>
              </w:rPr>
            </w:pPr>
          </w:p>
        </w:tc>
        <w:tc>
          <w:tcPr>
            <w:tcW w:w="184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c>
          <w:tcPr>
            <w:tcW w:w="95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03"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c>
          <w:tcPr>
            <w:tcW w:w="108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95</w:t>
            </w: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7772</w:t>
            </w:r>
          </w:p>
        </w:tc>
        <w:tc>
          <w:tcPr>
            <w:tcW w:w="1439"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14:textFill>
                  <w14:solidFill>
                    <w14:schemeClr w14:val="tx1"/>
                  </w14:solidFill>
                </w14:textFill>
              </w:rPr>
              <w:t>510256</w:t>
            </w:r>
          </w:p>
        </w:tc>
        <w:tc>
          <w:tcPr>
            <w:tcW w:w="5238"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407" w:type="dxa"/>
            <w:vAlign w:val="center"/>
          </w:tcPr>
          <w:p>
            <w:pPr>
              <w:pStyle w:val="20"/>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895000</w:t>
            </w:r>
          </w:p>
        </w:tc>
      </w:tr>
    </w:tbl>
    <w:p>
      <w:pPr>
        <w:pStyle w:val="20"/>
        <w:rPr>
          <w:rFonts w:hint="default" w:ascii="Times New Roman" w:hAnsi="Times New Roman" w:cs="Times New Roman"/>
          <w:color w:val="000000" w:themeColor="text1"/>
          <w:lang w:val="en-US" w:eastAsia="zh-CN"/>
          <w14:textFill>
            <w14:solidFill>
              <w14:schemeClr w14:val="tx1"/>
            </w14:solidFill>
          </w14:textFill>
        </w:rPr>
      </w:pPr>
    </w:p>
    <w:p>
      <w:pP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br w:type="page"/>
      </w:r>
    </w:p>
    <w:p>
      <w:pPr>
        <w:pStyle w:val="3"/>
        <w:bidi w:val="0"/>
        <w:jc w:val="center"/>
        <w:rPr>
          <w:rFonts w:hint="default" w:ascii="Times New Roman" w:hAnsi="Times New Roman" w:cs="Times New Roman"/>
          <w:color w:val="auto"/>
          <w:lang w:val="en-US" w:eastAsia="zh-CN"/>
        </w:rPr>
      </w:pPr>
      <w:bookmarkStart w:id="40" w:name="_Toc3812"/>
      <w:bookmarkStart w:id="41" w:name="_Toc12427"/>
      <w:r>
        <w:rPr>
          <w:rFonts w:hint="default" w:ascii="Times New Roman" w:hAnsi="Times New Roman" w:cs="Times New Roman"/>
          <w:color w:val="auto"/>
          <w:lang w:val="en-US" w:eastAsia="zh-CN"/>
        </w:rPr>
        <w:t>附表</w:t>
      </w:r>
      <w:r>
        <w:rPr>
          <w:rFonts w:hint="eastAsia" w:cs="Times New Roman"/>
          <w:color w:val="auto"/>
          <w:lang w:val="en-US" w:eastAsia="zh-CN"/>
        </w:rPr>
        <w:t>4</w:t>
      </w:r>
      <w:r>
        <w:rPr>
          <w:rFonts w:hint="default" w:ascii="Times New Roman" w:hAnsi="Times New Roman" w:cs="Times New Roman"/>
          <w:color w:val="auto"/>
          <w:lang w:val="en-US" w:eastAsia="zh-CN"/>
        </w:rPr>
        <w:t>：玉溪市打造卷烟配套全产业链“1+5”平台</w:t>
      </w:r>
      <w:bookmarkEnd w:id="40"/>
      <w:bookmarkEnd w:id="41"/>
    </w:p>
    <w:tbl>
      <w:tblPr>
        <w:tblStyle w:val="15"/>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2042"/>
        <w:gridCol w:w="7265"/>
        <w:gridCol w:w="2119"/>
        <w:gridCol w:w="1631"/>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299"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i w:val="0"/>
                <w:color w:val="auto"/>
                <w:kern w:val="0"/>
                <w:sz w:val="24"/>
                <w:szCs w:val="24"/>
                <w:u w:val="none"/>
                <w:lang w:val="en-US" w:eastAsia="zh-CN" w:bidi="ar"/>
              </w:rPr>
              <w:t>序号</w:t>
            </w:r>
          </w:p>
        </w:tc>
        <w:tc>
          <w:tcPr>
            <w:tcW w:w="686"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i w:val="0"/>
                <w:color w:val="auto"/>
                <w:kern w:val="0"/>
                <w:sz w:val="24"/>
                <w:szCs w:val="24"/>
                <w:u w:val="none"/>
                <w:lang w:val="en-US" w:eastAsia="zh-CN" w:bidi="ar"/>
              </w:rPr>
              <w:t>平台名称</w:t>
            </w:r>
          </w:p>
        </w:tc>
        <w:tc>
          <w:tcPr>
            <w:tcW w:w="2441"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i w:val="0"/>
                <w:color w:val="auto"/>
                <w:kern w:val="0"/>
                <w:sz w:val="24"/>
                <w:szCs w:val="24"/>
                <w:u w:val="none"/>
                <w:lang w:val="en-US" w:eastAsia="zh-CN" w:bidi="ar"/>
              </w:rPr>
              <w:t>工作职责</w:t>
            </w:r>
          </w:p>
        </w:tc>
        <w:tc>
          <w:tcPr>
            <w:tcW w:w="712"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i w:val="0"/>
                <w:color w:val="auto"/>
                <w:kern w:val="0"/>
                <w:sz w:val="24"/>
                <w:szCs w:val="24"/>
                <w:u w:val="none"/>
                <w:lang w:val="en-US" w:eastAsia="zh-CN" w:bidi="ar"/>
              </w:rPr>
              <w:t>责任单位</w:t>
            </w:r>
          </w:p>
        </w:tc>
        <w:tc>
          <w:tcPr>
            <w:tcW w:w="548"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i w:val="0"/>
                <w:color w:val="auto"/>
                <w:kern w:val="0"/>
                <w:sz w:val="24"/>
                <w:szCs w:val="24"/>
                <w:u w:val="none"/>
                <w:lang w:val="en-US" w:eastAsia="zh-CN" w:bidi="ar"/>
              </w:rPr>
              <w:t>完成时限</w:t>
            </w:r>
          </w:p>
        </w:tc>
        <w:tc>
          <w:tcPr>
            <w:tcW w:w="312"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b/>
                <w:bCs/>
                <w:color w:val="auto"/>
                <w:sz w:val="24"/>
                <w:szCs w:val="24"/>
                <w:vertAlign w:val="baseline"/>
                <w:lang w:val="en-US" w:eastAsia="zh-CN"/>
              </w:rPr>
            </w:pPr>
            <w:r>
              <w:rPr>
                <w:rFonts w:hint="default" w:ascii="Times New Roman" w:hAnsi="Times New Roman" w:eastAsia="宋体" w:cs="Times New Roman"/>
                <w:b/>
                <w:bCs/>
                <w:i w:val="0"/>
                <w:color w:val="auto"/>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1</w:t>
            </w:r>
          </w:p>
        </w:tc>
        <w:tc>
          <w:tcPr>
            <w:tcW w:w="686"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统筹联动平台</w:t>
            </w:r>
          </w:p>
        </w:tc>
        <w:tc>
          <w:tcPr>
            <w:tcW w:w="2441"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firstLine="0" w:firstLineChars="0"/>
              <w:jc w:val="left"/>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强化组织领导，成立卷烟配套全产业链工作领导小组</w:t>
            </w:r>
            <w:r>
              <w:rPr>
                <w:rFonts w:hint="default" w:eastAsia="宋体" w:cs="Times New Roman"/>
                <w:i w:val="0"/>
                <w:color w:val="auto"/>
                <w:kern w:val="0"/>
                <w:sz w:val="21"/>
                <w:szCs w:val="21"/>
                <w:u w:val="none"/>
                <w:lang w:val="en" w:eastAsia="zh-CN" w:bidi="ar"/>
              </w:rPr>
              <w:t>,</w:t>
            </w:r>
            <w:r>
              <w:rPr>
                <w:rFonts w:hint="default" w:ascii="Times New Roman" w:hAnsi="Times New Roman" w:eastAsia="宋体" w:cs="Times New Roman"/>
                <w:i w:val="0"/>
                <w:color w:val="auto"/>
                <w:kern w:val="0"/>
                <w:sz w:val="21"/>
                <w:szCs w:val="21"/>
                <w:u w:val="none"/>
                <w:lang w:val="en-US" w:eastAsia="zh-CN" w:bidi="ar"/>
              </w:rPr>
              <w:t>加强协调对接，市委、市政府主要领导每年向省政府全产业链重塑云南卷烟工业领导小组汇报工作一次，与云南中烟公司高层对接一次；市政府分管领导每年对接两次，领导小组办公室每月与相关部门对接一次。切实压实责任，相关县（市、区）按照“四个一”工作机制，全面推进卷烟配套全产业链建设工作。</w:t>
            </w:r>
          </w:p>
        </w:tc>
        <w:tc>
          <w:tcPr>
            <w:tcW w:w="712"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市工业和信息化局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高新区管理委员会</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各县（市、区）人民政府</w:t>
            </w:r>
          </w:p>
        </w:tc>
        <w:tc>
          <w:tcPr>
            <w:tcW w:w="548"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长期坚持</w:t>
            </w:r>
          </w:p>
        </w:tc>
        <w:tc>
          <w:tcPr>
            <w:tcW w:w="312" w:type="pct"/>
            <w:noWrap w:val="0"/>
            <w:vAlign w:val="center"/>
          </w:tcPr>
          <w:p>
            <w:pPr>
              <w:pStyle w:val="7"/>
              <w:keepNext w:val="0"/>
              <w:keepLines w:val="0"/>
              <w:pageBreakBefore w:val="0"/>
              <w:kinsoku/>
              <w:wordWrap w:val="0"/>
              <w:overflowPunct w:val="0"/>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2</w:t>
            </w:r>
          </w:p>
        </w:tc>
        <w:tc>
          <w:tcPr>
            <w:tcW w:w="686"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交流共享平台</w:t>
            </w:r>
          </w:p>
        </w:tc>
        <w:tc>
          <w:tcPr>
            <w:tcW w:w="2441"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建立沟通交流机制，推动成立卷烟配套产业创新联盟和行业协会，搭建政企、民企与国企的交流沟通平台，交流平台由业内知名的技术专家、企业家、政策研究专家组成，以服务卷烟配套产业发展为宗旨，定期不定期开展交流活动，共享行业信息，并加强技术和业务合作，探索解决实际中存在的问题，促进卷烟配套产业规范发展。</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做好组团营销和宣传服务工作，加强对国内外卷烟配套产业发展方向和市场走势的研究，鼓励、支持和引导配套企业组团营销和宣传，以龙头企业为依托，整合资源组织企业参与省内外招投标，制订合作章程，保障产品质量和服务。</w:t>
            </w:r>
          </w:p>
        </w:tc>
        <w:tc>
          <w:tcPr>
            <w:tcW w:w="712" w:type="pct"/>
            <w:noWrap w:val="0"/>
            <w:vAlign w:val="center"/>
          </w:tcPr>
          <w:p>
            <w:pPr>
              <w:keepNext w:val="0"/>
              <w:keepLines w:val="0"/>
              <w:pageBreakBefore w:val="0"/>
              <w:widowControl/>
              <w:suppressLineNumbers w:val="0"/>
              <w:kinsoku/>
              <w:topLinePunct w:val="0"/>
              <w:autoSpaceDE/>
              <w:autoSpaceDN/>
              <w:bidi w:val="0"/>
              <w:adjustRightInd/>
              <w:snapToGrid/>
              <w:spacing w:afterAutospacing="0"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市工业和信息化局</w:t>
            </w:r>
          </w:p>
        </w:tc>
        <w:tc>
          <w:tcPr>
            <w:tcW w:w="548"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2022年底</w:t>
            </w:r>
          </w:p>
        </w:tc>
        <w:tc>
          <w:tcPr>
            <w:tcW w:w="312" w:type="pct"/>
            <w:noWrap w:val="0"/>
            <w:vAlign w:val="center"/>
          </w:tcPr>
          <w:p>
            <w:pPr>
              <w:pStyle w:val="7"/>
              <w:keepNext w:val="0"/>
              <w:keepLines w:val="0"/>
              <w:pageBreakBefore w:val="0"/>
              <w:kinsoku/>
              <w:wordWrap w:val="0"/>
              <w:overflowPunct w:val="0"/>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3</w:t>
            </w:r>
          </w:p>
        </w:tc>
        <w:tc>
          <w:tcPr>
            <w:tcW w:w="686"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创新协作平台</w:t>
            </w:r>
          </w:p>
        </w:tc>
        <w:tc>
          <w:tcPr>
            <w:tcW w:w="2441"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right="0" w:rightChars="0" w:firstLine="0" w:firstLineChars="0"/>
              <w:jc w:val="left"/>
              <w:textAlignment w:val="center"/>
              <w:outlineLvl w:val="9"/>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组建联合研发中心，引导配套企业按照自愿原则成立一家独立运营的专业型技术研发平台，发挥各自优势，积极开展协同创新工作，实现资源互补共享，研究成果以专利的形式进行转让，由各参与企业竞标购买。</w:t>
            </w:r>
          </w:p>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参与外部研发合作，承接外部科研设计工作，拓展相关业务，整体提升配套产业研发水平，并积极参与云南烟草实验室的平台建设中，支持部分研发能力强的企业加强与中烟公司技术合作，实现互助共生。</w:t>
            </w:r>
          </w:p>
        </w:tc>
        <w:tc>
          <w:tcPr>
            <w:tcW w:w="712"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市工业和信息化局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市科技局</w:t>
            </w:r>
          </w:p>
        </w:tc>
        <w:tc>
          <w:tcPr>
            <w:tcW w:w="548"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2022年底</w:t>
            </w:r>
          </w:p>
        </w:tc>
        <w:tc>
          <w:tcPr>
            <w:tcW w:w="312" w:type="pct"/>
            <w:noWrap w:val="0"/>
            <w:vAlign w:val="center"/>
          </w:tcPr>
          <w:p>
            <w:pPr>
              <w:pStyle w:val="7"/>
              <w:keepNext w:val="0"/>
              <w:keepLines w:val="0"/>
              <w:pageBreakBefore w:val="0"/>
              <w:kinsoku/>
              <w:wordWrap w:val="0"/>
              <w:overflowPunct w:val="0"/>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4</w:t>
            </w:r>
          </w:p>
        </w:tc>
        <w:tc>
          <w:tcPr>
            <w:tcW w:w="686"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国有全资平台</w:t>
            </w:r>
          </w:p>
        </w:tc>
        <w:tc>
          <w:tcPr>
            <w:tcW w:w="2441"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坚持专业化、规模化、集群化，全力支持合和集团打造一流卷烟配套产业集群，对配套资源进行有效整合和深度挖掘，系统构建卷烟配套服务保障体系。通过收购整合本地民营、集体所有制配套企业，进一步整合配套资源、优化产业布局、完善产业链条，打造区域性全资企业龙头。</w:t>
            </w:r>
          </w:p>
        </w:tc>
        <w:tc>
          <w:tcPr>
            <w:tcW w:w="712"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市工业和信息化局</w:t>
            </w:r>
          </w:p>
        </w:tc>
        <w:tc>
          <w:tcPr>
            <w:tcW w:w="548"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2022年底</w:t>
            </w:r>
          </w:p>
        </w:tc>
        <w:tc>
          <w:tcPr>
            <w:tcW w:w="312" w:type="pct"/>
            <w:noWrap w:val="0"/>
            <w:vAlign w:val="center"/>
          </w:tcPr>
          <w:p>
            <w:pPr>
              <w:pStyle w:val="7"/>
              <w:keepNext w:val="0"/>
              <w:keepLines w:val="0"/>
              <w:pageBreakBefore w:val="0"/>
              <w:kinsoku/>
              <w:wordWrap w:val="0"/>
              <w:overflowPunct w:val="0"/>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5</w:t>
            </w:r>
          </w:p>
        </w:tc>
        <w:tc>
          <w:tcPr>
            <w:tcW w:w="686"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企业服务平台</w:t>
            </w:r>
          </w:p>
        </w:tc>
        <w:tc>
          <w:tcPr>
            <w:tcW w:w="2441"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做好培训服务工作，依托省内外研究机构和智库力量，建立专家咨询体系，组织卷烟配套企业认真学习中烟公司物资采购招标管理办法和相关细则，指导配套企业在营销方面下功夫，把生产工艺、特色产品等优势展现出来。</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 xml:space="preserve">    聚焦重点优势企业，不撒“胡椒面”，强化财政科技投入的导向性、聚焦性、前瞻性和公共性作用，鼓励支持企业加快研发创新和技术改造，支持优势企业做强做精，创建和培育省市级企业技术中心、制造业单项冠军、工业设计中心和“小巨人”企业，打造全市配套企业标杆示范。</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 xml:space="preserve">    积极向上争取政策，在仓储、物流方面给予扶持和优惠，不断提升配套企业发展质量和效益。</w:t>
            </w:r>
          </w:p>
        </w:tc>
        <w:tc>
          <w:tcPr>
            <w:tcW w:w="712"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市工业和信息化局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市财政局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市商务局</w:t>
            </w:r>
          </w:p>
        </w:tc>
        <w:tc>
          <w:tcPr>
            <w:tcW w:w="548"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2022年底</w:t>
            </w:r>
          </w:p>
        </w:tc>
        <w:tc>
          <w:tcPr>
            <w:tcW w:w="312" w:type="pct"/>
            <w:noWrap w:val="0"/>
            <w:vAlign w:val="center"/>
          </w:tcPr>
          <w:p>
            <w:pPr>
              <w:pStyle w:val="7"/>
              <w:keepNext w:val="0"/>
              <w:keepLines w:val="0"/>
              <w:pageBreakBefore w:val="0"/>
              <w:kinsoku/>
              <w:wordWrap w:val="0"/>
              <w:overflowPunct w:val="0"/>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9"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6</w:t>
            </w:r>
          </w:p>
        </w:tc>
        <w:tc>
          <w:tcPr>
            <w:tcW w:w="686"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重点项目平台</w:t>
            </w:r>
          </w:p>
        </w:tc>
        <w:tc>
          <w:tcPr>
            <w:tcW w:w="2441"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left"/>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建立重点项目库，分析研究卷烟配套产业发展的优势和劣势，按照“多选精选”的原则，着眼于提升产品结构、产品层次和竞争优势、弥补延伸产业链条，精心谋划一批战略性、前瞻性的项目。</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 xml:space="preserve">    精准招商引资，瞄准国内外行业龙头和成长性好的企业抓招商和人才引进，围绕新型烟草部件配套企业（如烟弹、香精香料、烟具、电子烟雾化器）、具有核心技术的优势企业（汉高）、卷烟装备制造企业和数字平台开发企业，积极开展以商招商、网络招商、点对点招商工作。</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 xml:space="preserve">    完善要素保障，不断优化营商环境和投资环境，加快完善基础设施建设，在红塔区规划300-500亩用地，集中连片支持合和集团、红塔集团发展新型烟草行业；协调解决项目行政审批中遇到的问题，切实抓好项目落地保障；强化科技人才服务，鼓励企业引进高端人才，解决其住房、医疗保健、子女教育、居留落户等实际问题；落实卷烟配套企业技术成果认定、研发创新奖补等优惠政策，加快配套企业技术改造和创新发展；推动金融机构与企业对接的，创建、培育科技创新基金，积极推动符合条件的企业进行发债融资、租赁融资，解决企业科技创新投入难题。</w:t>
            </w:r>
          </w:p>
        </w:tc>
        <w:tc>
          <w:tcPr>
            <w:tcW w:w="712"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市工业和信息化局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市发展和改革委</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市政务服务管理局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市投资促进局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市自然资源局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市生态环境局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市人社局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市教体局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市科技局</w:t>
            </w:r>
            <w:r>
              <w:rPr>
                <w:rFonts w:hint="default" w:ascii="Times New Roman" w:hAnsi="Times New Roman" w:eastAsia="宋体" w:cs="Times New Roman"/>
                <w:i w:val="0"/>
                <w:color w:val="auto"/>
                <w:kern w:val="0"/>
                <w:sz w:val="21"/>
                <w:szCs w:val="21"/>
                <w:u w:val="none"/>
                <w:lang w:val="en-US" w:eastAsia="zh-CN" w:bidi="ar"/>
              </w:rPr>
              <w:br w:type="textWrapping"/>
            </w:r>
            <w:r>
              <w:rPr>
                <w:rFonts w:hint="default" w:ascii="Times New Roman" w:hAnsi="Times New Roman" w:eastAsia="宋体" w:cs="Times New Roman"/>
                <w:i w:val="0"/>
                <w:color w:val="auto"/>
                <w:kern w:val="0"/>
                <w:sz w:val="21"/>
                <w:szCs w:val="21"/>
                <w:u w:val="none"/>
                <w:lang w:val="en-US" w:eastAsia="zh-CN" w:bidi="ar"/>
              </w:rPr>
              <w:t>红塔区人民政府</w:t>
            </w:r>
          </w:p>
        </w:tc>
        <w:tc>
          <w:tcPr>
            <w:tcW w:w="548" w:type="pct"/>
            <w:noWrap w:val="0"/>
            <w:vAlign w:val="center"/>
          </w:tcPr>
          <w:p>
            <w:pPr>
              <w:keepNext w:val="0"/>
              <w:keepLines w:val="0"/>
              <w:pageBreakBefore w:val="0"/>
              <w:widowControl/>
              <w:suppressLineNumbers w:val="0"/>
              <w:kinsoku/>
              <w:topLinePunct w:val="0"/>
              <w:autoSpaceDE/>
              <w:autoSpaceDN/>
              <w:bidi w:val="0"/>
              <w:adjustRightInd/>
              <w:snapToGrid/>
              <w:spacing w:line="240" w:lineRule="auto"/>
              <w:ind w:left="0" w:leftChars="0" w:right="0" w:rightChars="0" w:firstLine="0" w:firstLineChars="0"/>
              <w:jc w:val="center"/>
              <w:textAlignment w:val="center"/>
              <w:outlineLvl w:val="9"/>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i w:val="0"/>
                <w:color w:val="auto"/>
                <w:kern w:val="0"/>
                <w:sz w:val="21"/>
                <w:szCs w:val="21"/>
                <w:u w:val="none"/>
                <w:lang w:val="en-US" w:eastAsia="zh-CN" w:bidi="ar"/>
              </w:rPr>
              <w:t>2022年底</w:t>
            </w:r>
          </w:p>
        </w:tc>
        <w:tc>
          <w:tcPr>
            <w:tcW w:w="312" w:type="pct"/>
            <w:noWrap w:val="0"/>
            <w:vAlign w:val="center"/>
          </w:tcPr>
          <w:p>
            <w:pPr>
              <w:pStyle w:val="7"/>
              <w:keepNext w:val="0"/>
              <w:keepLines w:val="0"/>
              <w:pageBreakBefore w:val="0"/>
              <w:kinsoku/>
              <w:wordWrap w:val="0"/>
              <w:overflowPunct w:val="0"/>
              <w:topLinePunct w:val="0"/>
              <w:autoSpaceDE/>
              <w:autoSpaceDN/>
              <w:bidi w:val="0"/>
              <w:adjustRightInd/>
              <w:snapToGrid/>
              <w:spacing w:line="240" w:lineRule="auto"/>
              <w:ind w:left="0" w:leftChars="0" w:right="0" w:rightChars="0" w:firstLine="0" w:firstLineChars="0"/>
              <w:jc w:val="center"/>
              <w:outlineLvl w:val="9"/>
              <w:rPr>
                <w:rFonts w:hint="default" w:ascii="Times New Roman" w:hAnsi="Times New Roman" w:eastAsia="宋体" w:cs="Times New Roman"/>
                <w:color w:val="auto"/>
                <w:sz w:val="21"/>
                <w:szCs w:val="21"/>
                <w:vertAlign w:val="baseline"/>
                <w:lang w:val="en-US" w:eastAsia="zh-CN"/>
              </w:rPr>
            </w:pPr>
          </w:p>
        </w:tc>
      </w:tr>
    </w:tbl>
    <w:p>
      <w:pPr>
        <w:pStyle w:val="20"/>
        <w:ind w:left="0" w:leftChars="0" w:firstLine="0" w:firstLineChars="0"/>
        <w:rPr>
          <w:rFonts w:hint="default" w:ascii="Times New Roman" w:hAnsi="Times New Roman" w:cs="Times New Roman"/>
          <w:color w:val="000000" w:themeColor="text1"/>
          <w:lang w:val="en-US" w:eastAsia="zh-CN"/>
          <w14:textFill>
            <w14:solidFill>
              <w14:schemeClr w14:val="tx1"/>
            </w14:solidFill>
          </w14:textFill>
        </w:rPr>
        <w:sectPr>
          <w:pgSz w:w="16838" w:h="11906" w:orient="landscape"/>
          <w:pgMar w:top="1440" w:right="1080" w:bottom="1440" w:left="1080" w:header="851" w:footer="992" w:gutter="0"/>
          <w:pgNumType w:fmt="decimal"/>
          <w:cols w:space="425" w:num="1"/>
          <w:docGrid w:type="lines" w:linePitch="312" w:charSpace="0"/>
        </w:sectPr>
      </w:pPr>
    </w:p>
    <w:p>
      <w:pPr>
        <w:pStyle w:val="3"/>
        <w:bidi w:val="0"/>
        <w:jc w:val="center"/>
        <w:rPr>
          <w:rFonts w:hint="default" w:ascii="Times New Roman" w:hAnsi="Times New Roman" w:cs="Times New Roman"/>
          <w:color w:val="000000" w:themeColor="text1"/>
          <w:lang w:val="en-US" w:eastAsia="zh-CN"/>
          <w14:textFill>
            <w14:solidFill>
              <w14:schemeClr w14:val="tx1"/>
            </w14:solidFill>
          </w14:textFill>
        </w:rPr>
      </w:pPr>
      <w:bookmarkStart w:id="42" w:name="_Toc5636"/>
      <w:r>
        <w:rPr>
          <w:rFonts w:hint="default" w:ascii="Times New Roman" w:hAnsi="Times New Roman" w:cs="Times New Roman"/>
          <w:color w:val="000000" w:themeColor="text1"/>
          <w:lang w:val="en-US" w:eastAsia="zh-CN"/>
          <w14:textFill>
            <w14:solidFill>
              <w14:schemeClr w14:val="tx1"/>
            </w14:solidFill>
          </w14:textFill>
        </w:rPr>
        <w:t>配套政策目录</w:t>
      </w:r>
      <w:bookmarkEnd w:id="42"/>
    </w:p>
    <w:p>
      <w:pP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pPr>
      <w: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t>《云南省支持烟草产业高质量发展若干政策措施》</w:t>
      </w:r>
      <w:r>
        <w:rPr>
          <w:rFonts w:hint="default" w:ascii="Times New Roman" w:hAnsi="Times New Roman" w:cs="Times New Roman"/>
          <w:i w:val="0"/>
          <w:caps w:val="0"/>
          <w:color w:val="000000" w:themeColor="text1"/>
          <w:spacing w:val="0"/>
          <w:sz w:val="32"/>
          <w:szCs w:val="32"/>
          <w:lang w:eastAsia="zh-CN"/>
          <w14:textFill>
            <w14:solidFill>
              <w14:schemeClr w14:val="tx1"/>
            </w14:solidFill>
          </w14:textFill>
        </w:rPr>
        <w:t>（</w:t>
      </w:r>
      <w:r>
        <w:rPr>
          <w:rFonts w:hint="default" w:ascii="Times New Roman" w:hAnsi="Times New Roman" w:cs="Times New Roman"/>
          <w:i w:val="0"/>
          <w:caps w:val="0"/>
          <w:color w:val="000000" w:themeColor="text1"/>
          <w:spacing w:val="0"/>
          <w:sz w:val="32"/>
          <w:szCs w:val="32"/>
          <w:lang w:val="en-US" w:eastAsia="zh-CN"/>
          <w14:textFill>
            <w14:solidFill>
              <w14:schemeClr w14:val="tx1"/>
            </w14:solidFill>
          </w14:textFill>
        </w:rPr>
        <w:t>云政发【2019】22号</w:t>
      </w:r>
      <w:r>
        <w:rPr>
          <w:rFonts w:hint="default" w:ascii="Times New Roman" w:hAnsi="Times New Roman" w:cs="Times New Roman"/>
          <w:i w:val="0"/>
          <w:caps w:val="0"/>
          <w:color w:val="000000" w:themeColor="text1"/>
          <w:spacing w:val="0"/>
          <w:sz w:val="32"/>
          <w:szCs w:val="32"/>
          <w:lang w:eastAsia="zh-CN"/>
          <w14:textFill>
            <w14:solidFill>
              <w14:schemeClr w14:val="tx1"/>
            </w14:solidFill>
          </w14:textFill>
        </w:rPr>
        <w:t>）</w:t>
      </w:r>
      <w:r>
        <w:rPr>
          <w:rFonts w:hint="default" w:ascii="Times New Roman" w:hAnsi="Times New Roman" w:eastAsia="仿宋" w:cs="Times New Roman"/>
          <w:i w:val="0"/>
          <w:caps w:val="0"/>
          <w:color w:val="000000" w:themeColor="text1"/>
          <w:spacing w:val="0"/>
          <w:sz w:val="32"/>
          <w:szCs w:val="32"/>
          <w:lang w:eastAsia="zh-CN"/>
          <w14:textFill>
            <w14:solidFill>
              <w14:schemeClr w14:val="tx1"/>
            </w14:solidFill>
          </w14:textFill>
        </w:rPr>
        <w:t>：</w:t>
      </w:r>
      <w:r>
        <w:rPr>
          <w:rFonts w:hint="default" w:ascii="Times New Roman" w:hAnsi="Times New Roman" w:cs="Times New Roman"/>
          <w:i w:val="0"/>
          <w:caps w:val="0"/>
          <w:color w:val="000000" w:themeColor="text1"/>
          <w:spacing w:val="0"/>
          <w:sz w:val="32"/>
          <w:szCs w:val="32"/>
          <w:lang w:val="en-US" w:eastAsia="zh-CN"/>
          <w14:textFill>
            <w14:solidFill>
              <w14:schemeClr w14:val="tx1"/>
            </w14:solidFill>
          </w14:textFill>
        </w:rPr>
        <w:t>为</w:t>
      </w:r>
      <w: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t>支持烟草产业转型升级高质量发展，制定</w:t>
      </w:r>
      <w:r>
        <w:rPr>
          <w:rFonts w:hint="default" w:ascii="Times New Roman" w:hAnsi="Times New Roman" w:eastAsia="仿宋" w:cs="Times New Roman"/>
          <w:i w:val="0"/>
          <w:caps w:val="0"/>
          <w:color w:val="000000" w:themeColor="text1"/>
          <w:spacing w:val="0"/>
          <w:sz w:val="32"/>
          <w:szCs w:val="32"/>
          <w:lang w:val="en-US" w:eastAsia="zh-CN"/>
          <w14:textFill>
            <w14:solidFill>
              <w14:schemeClr w14:val="tx1"/>
            </w14:solidFill>
          </w14:textFill>
        </w:rPr>
        <w:t>了</w:t>
      </w:r>
      <w: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t>全力支持深化改革</w:t>
      </w:r>
      <w:r>
        <w:rPr>
          <w:rFonts w:hint="default" w:ascii="Times New Roman" w:hAnsi="Times New Roman" w:eastAsia="仿宋" w:cs="Times New Roman"/>
          <w:i w:val="0"/>
          <w:caps w:val="0"/>
          <w:color w:val="000000" w:themeColor="text1"/>
          <w:spacing w:val="0"/>
          <w:sz w:val="32"/>
          <w:szCs w:val="32"/>
          <w:lang w:eastAsia="zh-CN"/>
          <w14:textFill>
            <w14:solidFill>
              <w14:schemeClr w14:val="tx1"/>
            </w14:solidFill>
          </w14:textFill>
        </w:rPr>
        <w:t>、</w:t>
      </w:r>
      <w: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t>着力打造数字烟草</w:t>
      </w:r>
      <w:r>
        <w:rPr>
          <w:rFonts w:hint="default" w:ascii="Times New Roman" w:hAnsi="Times New Roman" w:eastAsia="仿宋" w:cs="Times New Roman"/>
          <w:i w:val="0"/>
          <w:caps w:val="0"/>
          <w:color w:val="000000" w:themeColor="text1"/>
          <w:spacing w:val="0"/>
          <w:sz w:val="32"/>
          <w:szCs w:val="32"/>
          <w:lang w:eastAsia="zh-CN"/>
          <w14:textFill>
            <w14:solidFill>
              <w14:schemeClr w14:val="tx1"/>
            </w14:solidFill>
          </w14:textFill>
        </w:rPr>
        <w:t>、</w:t>
      </w:r>
      <w: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t>支持发展新型烟草制品</w:t>
      </w:r>
      <w:r>
        <w:rPr>
          <w:rFonts w:hint="default" w:ascii="Times New Roman" w:hAnsi="Times New Roman" w:eastAsia="仿宋" w:cs="Times New Roman"/>
          <w:i w:val="0"/>
          <w:caps w:val="0"/>
          <w:color w:val="000000" w:themeColor="text1"/>
          <w:spacing w:val="0"/>
          <w:sz w:val="32"/>
          <w:szCs w:val="32"/>
          <w:lang w:val="en-US" w:eastAsia="zh-CN"/>
          <w14:textFill>
            <w14:solidFill>
              <w14:schemeClr w14:val="tx1"/>
            </w14:solidFill>
          </w14:textFill>
        </w:rPr>
        <w:t>等十三条</w:t>
      </w:r>
      <w: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t>政策措施。</w:t>
      </w:r>
    </w:p>
    <w:p>
      <w:pP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pPr>
      <w:r>
        <w:rPr>
          <w:rFonts w:hint="default" w:ascii="Times New Roman" w:hAnsi="Times New Roman" w:eastAsia="仿宋" w:cs="Times New Roman"/>
          <w:i w:val="0"/>
          <w:caps w:val="0"/>
          <w:color w:val="000000" w:themeColor="text1"/>
          <w:spacing w:val="0"/>
          <w:sz w:val="32"/>
          <w:szCs w:val="32"/>
          <w:lang w:val="en-US" w:eastAsia="zh-CN"/>
          <w14:textFill>
            <w14:solidFill>
              <w14:schemeClr w14:val="tx1"/>
            </w14:solidFill>
          </w14:textFill>
        </w:rPr>
        <w:t>《</w:t>
      </w:r>
      <w: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t>云南省工业信息化厅关于加快云南省烟草行业数字化转型发展指导意见的通知</w:t>
      </w:r>
      <w:r>
        <w:rPr>
          <w:rFonts w:hint="default" w:ascii="Times New Roman" w:hAnsi="Times New Roman" w:eastAsia="仿宋" w:cs="Times New Roman"/>
          <w:i w:val="0"/>
          <w:caps w:val="0"/>
          <w:color w:val="000000" w:themeColor="text1"/>
          <w:spacing w:val="0"/>
          <w:sz w:val="32"/>
          <w:szCs w:val="32"/>
          <w:lang w:val="en-US" w:eastAsia="zh-CN"/>
          <w14:textFill>
            <w14:solidFill>
              <w14:schemeClr w14:val="tx1"/>
            </w14:solidFill>
          </w14:textFill>
        </w:rPr>
        <w:t>》</w:t>
      </w:r>
      <w:r>
        <w:rPr>
          <w:rFonts w:hint="default" w:ascii="Times New Roman" w:hAnsi="Times New Roman" w:cs="Times New Roman"/>
          <w:i w:val="0"/>
          <w:caps w:val="0"/>
          <w:color w:val="000000" w:themeColor="text1"/>
          <w:spacing w:val="0"/>
          <w:sz w:val="32"/>
          <w:szCs w:val="32"/>
          <w:lang w:val="en-US" w:eastAsia="zh-CN"/>
          <w14:textFill>
            <w14:solidFill>
              <w14:schemeClr w14:val="tx1"/>
            </w14:solidFill>
          </w14:textFill>
        </w:rPr>
        <w:t>（云工信信产【2020】147号）</w:t>
      </w:r>
      <w:r>
        <w:rPr>
          <w:rFonts w:hint="default" w:ascii="Times New Roman" w:hAnsi="Times New Roman" w:eastAsia="仿宋" w:cs="Times New Roman"/>
          <w:i w:val="0"/>
          <w:caps w:val="0"/>
          <w:color w:val="000000" w:themeColor="text1"/>
          <w:spacing w:val="0"/>
          <w:sz w:val="32"/>
          <w:szCs w:val="32"/>
          <w:lang w:val="en-US" w:eastAsia="zh-CN"/>
          <w14:textFill>
            <w14:solidFill>
              <w14:schemeClr w14:val="tx1"/>
            </w14:solidFill>
          </w14:textFill>
        </w:rPr>
        <w:t>：</w:t>
      </w:r>
      <w: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t>为加快烟草产业供给侧结构性改革，促进烟草一、二、三产业融通发展，构建烟草创新发展体系，巩固提升烟草产业竞争力和影响力</w:t>
      </w:r>
      <w:r>
        <w:rPr>
          <w:rFonts w:hint="default" w:ascii="Times New Roman" w:hAnsi="Times New Roman" w:cs="Times New Roman"/>
          <w:i w:val="0"/>
          <w:caps w:val="0"/>
          <w:color w:val="000000" w:themeColor="text1"/>
          <w:spacing w:val="0"/>
          <w:sz w:val="32"/>
          <w:szCs w:val="32"/>
          <w:lang w:val="en-US" w:eastAsia="zh-CN"/>
          <w14:textFill>
            <w14:solidFill>
              <w14:schemeClr w14:val="tx1"/>
            </w14:solidFill>
          </w14:textFill>
        </w:rPr>
        <w:t>制定了相关重点任务和保障措施</w:t>
      </w:r>
      <w:r>
        <w:rPr>
          <w:rFonts w:hint="default" w:ascii="Times New Roman" w:hAnsi="Times New Roman" w:eastAsia="仿宋" w:cs="Times New Roman"/>
          <w:i w:val="0"/>
          <w:caps w:val="0"/>
          <w:color w:val="000000" w:themeColor="text1"/>
          <w:spacing w:val="0"/>
          <w:sz w:val="32"/>
          <w:szCs w:val="32"/>
          <w14:textFill>
            <w14:solidFill>
              <w14:schemeClr w14:val="tx1"/>
            </w14:solidFill>
          </w14:textFill>
        </w:rPr>
        <w:t>。</w:t>
      </w:r>
    </w:p>
    <w:p>
      <w:pPr>
        <w:rPr>
          <w:rFonts w:hint="default" w:ascii="Times New Roman" w:hAnsi="Times New Roman" w:eastAsia="仿宋" w:cs="Times New Roman"/>
          <w:i w:val="0"/>
          <w:caps w:val="0"/>
          <w:color w:val="000000" w:themeColor="text1"/>
          <w:spacing w:val="0"/>
          <w:sz w:val="32"/>
          <w:szCs w:val="32"/>
          <w:lang w:val="en-US" w:eastAsia="zh-CN"/>
          <w14:textFill>
            <w14:solidFill>
              <w14:schemeClr w14:val="tx1"/>
            </w14:solidFill>
          </w14:textFill>
        </w:rPr>
      </w:pPr>
      <w:r>
        <w:rPr>
          <w:rFonts w:hint="default" w:ascii="Times New Roman" w:hAnsi="Times New Roman" w:eastAsia="仿宋" w:cs="Times New Roman"/>
          <w:i w:val="0"/>
          <w:caps w:val="0"/>
          <w:color w:val="000000" w:themeColor="text1"/>
          <w:spacing w:val="0"/>
          <w:sz w:val="32"/>
          <w:szCs w:val="32"/>
          <w:lang w:val="en-US" w:eastAsia="zh-CN"/>
          <w14:textFill>
            <w14:solidFill>
              <w14:schemeClr w14:val="tx1"/>
            </w14:solidFill>
          </w14:textFill>
        </w:rPr>
        <w:t>《玉溪市人民政府办公室关于印发&lt;玉溪市重点产业投资促进优惠政策（试行）&gt;&lt;玉溪市重点产业投资促进优惠政策兑现办法（试行）&gt;的通知》（玉政办通【2020】27号）：为进一步改善投资环境，强化产业聚集和培育，构建现代产业体系，推进产业转型升级、高质量发展，在土地奖补、税收扶持、项目奖扶、上市奖励等方面制定了包括卷烟配套产业在内的重点产业奖励优惠政策。</w:t>
      </w:r>
    </w:p>
    <w:sectPr>
      <w:pgSz w:w="11906" w:h="16838"/>
      <w:pgMar w:top="1080" w:right="1440" w:bottom="1080"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AB39B0-46A5-4488-B7CE-A0B1CF2781C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C9E4279-958F-4A14-AD18-45B5E9E0BBDB}"/>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0AD2FAFF-3711-4BFD-95C1-E3E58F6DE572}"/>
  </w:font>
  <w:font w:name="楷体_GB2312">
    <w:altName w:val="楷体"/>
    <w:panose1 w:val="02010609030101010101"/>
    <w:charset w:val="86"/>
    <w:family w:val="auto"/>
    <w:pitch w:val="default"/>
    <w:sig w:usb0="00000000" w:usb1="00000000" w:usb2="00000000" w:usb3="00000000" w:csb0="00040000" w:csb1="00000000"/>
    <w:embedRegular r:id="rId4" w:fontKey="{2D616E90-4AD7-465E-B987-82AB57830CE4}"/>
  </w:font>
  <w:font w:name="方正仿宋_GBK">
    <w:panose1 w:val="02000000000000000000"/>
    <w:charset w:val="86"/>
    <w:family w:val="auto"/>
    <w:pitch w:val="default"/>
    <w:sig w:usb0="00000001" w:usb1="080E0000" w:usb2="00000000" w:usb3="00000000" w:csb0="00040000" w:csb1="00000000"/>
    <w:embedRegular r:id="rId5" w:fontKey="{037C6666-259C-4F4B-99D9-056BF2449496}"/>
  </w:font>
  <w:font w:name="方正小标宋简体">
    <w:panose1 w:val="02000000000000000000"/>
    <w:charset w:val="86"/>
    <w:family w:val="auto"/>
    <w:pitch w:val="default"/>
    <w:sig w:usb0="A00002BF" w:usb1="184F6CFA" w:usb2="00000012" w:usb3="00000000" w:csb0="00040001" w:csb1="00000000"/>
    <w:embedRegular r:id="rId6" w:fontKey="{15CA19E3-252A-4EB6-9B73-8C83086FB208}"/>
  </w:font>
  <w:font w:name="微软雅黑">
    <w:panose1 w:val="020B0503020204020204"/>
    <w:charset w:val="86"/>
    <w:family w:val="auto"/>
    <w:pitch w:val="default"/>
    <w:sig w:usb0="80000287" w:usb1="2ACF3C50" w:usb2="00000016" w:usb3="00000000" w:csb0="0004001F" w:csb1="00000000"/>
    <w:embedRegular r:id="rId7" w:fontKey="{25080752-C4CF-4D1C-9D11-EF8CBFDD9525}"/>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464CE2"/>
    <w:rsid w:val="0002482D"/>
    <w:rsid w:val="002164AD"/>
    <w:rsid w:val="005D21EC"/>
    <w:rsid w:val="01076DFF"/>
    <w:rsid w:val="0117776E"/>
    <w:rsid w:val="012341AE"/>
    <w:rsid w:val="013305B5"/>
    <w:rsid w:val="01434CD9"/>
    <w:rsid w:val="01550D43"/>
    <w:rsid w:val="018843D3"/>
    <w:rsid w:val="021A58ED"/>
    <w:rsid w:val="02550EDE"/>
    <w:rsid w:val="02563C02"/>
    <w:rsid w:val="025D3273"/>
    <w:rsid w:val="03070DFB"/>
    <w:rsid w:val="03312FFE"/>
    <w:rsid w:val="035F29A7"/>
    <w:rsid w:val="03B853BC"/>
    <w:rsid w:val="03D26594"/>
    <w:rsid w:val="03D67B2E"/>
    <w:rsid w:val="03D97BC7"/>
    <w:rsid w:val="03DA26A3"/>
    <w:rsid w:val="03F56ED8"/>
    <w:rsid w:val="043D0305"/>
    <w:rsid w:val="04401517"/>
    <w:rsid w:val="0496425C"/>
    <w:rsid w:val="049B507E"/>
    <w:rsid w:val="049D7FFF"/>
    <w:rsid w:val="04A5335A"/>
    <w:rsid w:val="04AF1F83"/>
    <w:rsid w:val="04B7233B"/>
    <w:rsid w:val="04C454CA"/>
    <w:rsid w:val="04D42AA1"/>
    <w:rsid w:val="052146A3"/>
    <w:rsid w:val="05A86B9D"/>
    <w:rsid w:val="05B71BE3"/>
    <w:rsid w:val="05B87F09"/>
    <w:rsid w:val="05BD05E9"/>
    <w:rsid w:val="05BE6EEA"/>
    <w:rsid w:val="05D6715E"/>
    <w:rsid w:val="05F513EF"/>
    <w:rsid w:val="05FA2F5F"/>
    <w:rsid w:val="066B123B"/>
    <w:rsid w:val="0670282C"/>
    <w:rsid w:val="06A837E8"/>
    <w:rsid w:val="06D94AC0"/>
    <w:rsid w:val="06DA0DF2"/>
    <w:rsid w:val="06DC4236"/>
    <w:rsid w:val="06DF3F88"/>
    <w:rsid w:val="076A7F5F"/>
    <w:rsid w:val="077D3A2E"/>
    <w:rsid w:val="07B27370"/>
    <w:rsid w:val="07BE6BC7"/>
    <w:rsid w:val="07EE1A06"/>
    <w:rsid w:val="07F66959"/>
    <w:rsid w:val="080E4983"/>
    <w:rsid w:val="08235FBD"/>
    <w:rsid w:val="084801D9"/>
    <w:rsid w:val="087A3092"/>
    <w:rsid w:val="088223BE"/>
    <w:rsid w:val="0884628A"/>
    <w:rsid w:val="08AF3A7B"/>
    <w:rsid w:val="08D74D98"/>
    <w:rsid w:val="08DC787D"/>
    <w:rsid w:val="09152BD2"/>
    <w:rsid w:val="09194710"/>
    <w:rsid w:val="092A46FA"/>
    <w:rsid w:val="094F1EB2"/>
    <w:rsid w:val="09545392"/>
    <w:rsid w:val="09944F76"/>
    <w:rsid w:val="09C4694A"/>
    <w:rsid w:val="0A0B3CC2"/>
    <w:rsid w:val="0A250D78"/>
    <w:rsid w:val="0A501139"/>
    <w:rsid w:val="0A7A7DA2"/>
    <w:rsid w:val="0A9F2F66"/>
    <w:rsid w:val="0AE20F1E"/>
    <w:rsid w:val="0B062726"/>
    <w:rsid w:val="0B0D4E0C"/>
    <w:rsid w:val="0B6F37FF"/>
    <w:rsid w:val="0B7721A6"/>
    <w:rsid w:val="0B8C3188"/>
    <w:rsid w:val="0B9B7FCB"/>
    <w:rsid w:val="0BAD4D23"/>
    <w:rsid w:val="0C28369E"/>
    <w:rsid w:val="0C2D7920"/>
    <w:rsid w:val="0C661E9A"/>
    <w:rsid w:val="0C6718C9"/>
    <w:rsid w:val="0C6A611C"/>
    <w:rsid w:val="0C6B6CC3"/>
    <w:rsid w:val="0C803B00"/>
    <w:rsid w:val="0C8E4E76"/>
    <w:rsid w:val="0CA9386B"/>
    <w:rsid w:val="0CAC352A"/>
    <w:rsid w:val="0CD74A22"/>
    <w:rsid w:val="0D344424"/>
    <w:rsid w:val="0D6D7CF6"/>
    <w:rsid w:val="0DB234C6"/>
    <w:rsid w:val="0DCB658D"/>
    <w:rsid w:val="0DCB6871"/>
    <w:rsid w:val="0DEC496A"/>
    <w:rsid w:val="0E2D4C85"/>
    <w:rsid w:val="0E3A182A"/>
    <w:rsid w:val="0E4604F4"/>
    <w:rsid w:val="0E463F40"/>
    <w:rsid w:val="0E495132"/>
    <w:rsid w:val="0E4E48B9"/>
    <w:rsid w:val="0E7B6A24"/>
    <w:rsid w:val="0E881E3B"/>
    <w:rsid w:val="0EA203A0"/>
    <w:rsid w:val="0EA919D7"/>
    <w:rsid w:val="0EB15CA4"/>
    <w:rsid w:val="0EB47A35"/>
    <w:rsid w:val="0EB7729B"/>
    <w:rsid w:val="0ED4613C"/>
    <w:rsid w:val="0ED551EA"/>
    <w:rsid w:val="0F0E7AF2"/>
    <w:rsid w:val="0F1D210E"/>
    <w:rsid w:val="0F586F34"/>
    <w:rsid w:val="0F802019"/>
    <w:rsid w:val="0FA06C38"/>
    <w:rsid w:val="0FA078EB"/>
    <w:rsid w:val="0FA5246C"/>
    <w:rsid w:val="0FD95D8F"/>
    <w:rsid w:val="0FE127D3"/>
    <w:rsid w:val="1031491A"/>
    <w:rsid w:val="104C47B2"/>
    <w:rsid w:val="10782FC4"/>
    <w:rsid w:val="114606AC"/>
    <w:rsid w:val="1188717C"/>
    <w:rsid w:val="118E6537"/>
    <w:rsid w:val="11997415"/>
    <w:rsid w:val="11BC4386"/>
    <w:rsid w:val="11D2242D"/>
    <w:rsid w:val="12147EBC"/>
    <w:rsid w:val="121C6DF2"/>
    <w:rsid w:val="123C3573"/>
    <w:rsid w:val="125831FA"/>
    <w:rsid w:val="125A3C97"/>
    <w:rsid w:val="127047F0"/>
    <w:rsid w:val="12A613BB"/>
    <w:rsid w:val="12E42676"/>
    <w:rsid w:val="130D294F"/>
    <w:rsid w:val="131572A3"/>
    <w:rsid w:val="13363607"/>
    <w:rsid w:val="133B45EF"/>
    <w:rsid w:val="1379328D"/>
    <w:rsid w:val="13A27B20"/>
    <w:rsid w:val="13AC05E1"/>
    <w:rsid w:val="13CC6C05"/>
    <w:rsid w:val="13DE17D4"/>
    <w:rsid w:val="14193DB2"/>
    <w:rsid w:val="14272006"/>
    <w:rsid w:val="14496B22"/>
    <w:rsid w:val="145C36DF"/>
    <w:rsid w:val="14726C36"/>
    <w:rsid w:val="147C5731"/>
    <w:rsid w:val="14820BCA"/>
    <w:rsid w:val="14976027"/>
    <w:rsid w:val="14CD5FEA"/>
    <w:rsid w:val="14E933A3"/>
    <w:rsid w:val="15172746"/>
    <w:rsid w:val="151A5505"/>
    <w:rsid w:val="15251AC7"/>
    <w:rsid w:val="156E54C2"/>
    <w:rsid w:val="15B56097"/>
    <w:rsid w:val="15DF7675"/>
    <w:rsid w:val="16053CB9"/>
    <w:rsid w:val="16185FE7"/>
    <w:rsid w:val="162340C8"/>
    <w:rsid w:val="16345A9C"/>
    <w:rsid w:val="16506DB0"/>
    <w:rsid w:val="166458E7"/>
    <w:rsid w:val="16761FFC"/>
    <w:rsid w:val="16AC4876"/>
    <w:rsid w:val="16B27346"/>
    <w:rsid w:val="16D33A5B"/>
    <w:rsid w:val="16EE1D06"/>
    <w:rsid w:val="17042B82"/>
    <w:rsid w:val="171D174E"/>
    <w:rsid w:val="17271108"/>
    <w:rsid w:val="17914778"/>
    <w:rsid w:val="17AD060F"/>
    <w:rsid w:val="17FB4A8E"/>
    <w:rsid w:val="188D6E3D"/>
    <w:rsid w:val="189E6F7F"/>
    <w:rsid w:val="18A84D99"/>
    <w:rsid w:val="18A94F00"/>
    <w:rsid w:val="18D52A9B"/>
    <w:rsid w:val="18DB41B6"/>
    <w:rsid w:val="18EF0816"/>
    <w:rsid w:val="190A2C51"/>
    <w:rsid w:val="19540DB2"/>
    <w:rsid w:val="195712E1"/>
    <w:rsid w:val="19AF6D66"/>
    <w:rsid w:val="19C717BC"/>
    <w:rsid w:val="1A006828"/>
    <w:rsid w:val="1A0E2747"/>
    <w:rsid w:val="1A15175A"/>
    <w:rsid w:val="1A1F3001"/>
    <w:rsid w:val="1A1F32BA"/>
    <w:rsid w:val="1A256D6C"/>
    <w:rsid w:val="1A3512AB"/>
    <w:rsid w:val="1A453842"/>
    <w:rsid w:val="1ABD64B6"/>
    <w:rsid w:val="1ACE2834"/>
    <w:rsid w:val="1ADF33C7"/>
    <w:rsid w:val="1B643C17"/>
    <w:rsid w:val="1B6F2A29"/>
    <w:rsid w:val="1BA750F5"/>
    <w:rsid w:val="1BAF2C4B"/>
    <w:rsid w:val="1BC13D59"/>
    <w:rsid w:val="1BFE65B2"/>
    <w:rsid w:val="1C3854AC"/>
    <w:rsid w:val="1C4C2C8F"/>
    <w:rsid w:val="1C5447C1"/>
    <w:rsid w:val="1CB434E5"/>
    <w:rsid w:val="1CD125B5"/>
    <w:rsid w:val="1CDB518B"/>
    <w:rsid w:val="1D0431C3"/>
    <w:rsid w:val="1D26270A"/>
    <w:rsid w:val="1D672C57"/>
    <w:rsid w:val="1DB66747"/>
    <w:rsid w:val="1DD75B29"/>
    <w:rsid w:val="1DDD0E4E"/>
    <w:rsid w:val="1E183956"/>
    <w:rsid w:val="1E345562"/>
    <w:rsid w:val="1E590400"/>
    <w:rsid w:val="1E6804F1"/>
    <w:rsid w:val="1F1770DD"/>
    <w:rsid w:val="1F2245C3"/>
    <w:rsid w:val="1F2E6D52"/>
    <w:rsid w:val="1FB57169"/>
    <w:rsid w:val="1FC16610"/>
    <w:rsid w:val="1FF51F03"/>
    <w:rsid w:val="1FFD3C17"/>
    <w:rsid w:val="20071232"/>
    <w:rsid w:val="203F56D7"/>
    <w:rsid w:val="207822CC"/>
    <w:rsid w:val="211115BF"/>
    <w:rsid w:val="21787C30"/>
    <w:rsid w:val="218C11A2"/>
    <w:rsid w:val="219B535F"/>
    <w:rsid w:val="21A917A3"/>
    <w:rsid w:val="21D74C11"/>
    <w:rsid w:val="21FD2EDD"/>
    <w:rsid w:val="220131F5"/>
    <w:rsid w:val="222D6A61"/>
    <w:rsid w:val="22420AE2"/>
    <w:rsid w:val="227B1932"/>
    <w:rsid w:val="228F2244"/>
    <w:rsid w:val="22DF49CB"/>
    <w:rsid w:val="22EF6852"/>
    <w:rsid w:val="22F672A9"/>
    <w:rsid w:val="234836DF"/>
    <w:rsid w:val="23652067"/>
    <w:rsid w:val="238F17C6"/>
    <w:rsid w:val="238F1D32"/>
    <w:rsid w:val="238F7B04"/>
    <w:rsid w:val="23921655"/>
    <w:rsid w:val="23DE456B"/>
    <w:rsid w:val="23EA0A5E"/>
    <w:rsid w:val="23EB0B8C"/>
    <w:rsid w:val="24337131"/>
    <w:rsid w:val="24B01317"/>
    <w:rsid w:val="24C31DC4"/>
    <w:rsid w:val="24C56A24"/>
    <w:rsid w:val="25001076"/>
    <w:rsid w:val="2503109B"/>
    <w:rsid w:val="255E2764"/>
    <w:rsid w:val="25685582"/>
    <w:rsid w:val="257F47EC"/>
    <w:rsid w:val="25870AA2"/>
    <w:rsid w:val="25877E98"/>
    <w:rsid w:val="25AF7793"/>
    <w:rsid w:val="25DF2F6D"/>
    <w:rsid w:val="25F301D5"/>
    <w:rsid w:val="26272ECC"/>
    <w:rsid w:val="264E2B23"/>
    <w:rsid w:val="268A313C"/>
    <w:rsid w:val="26BD1239"/>
    <w:rsid w:val="26BE2AD8"/>
    <w:rsid w:val="26DC1541"/>
    <w:rsid w:val="26ED41D6"/>
    <w:rsid w:val="27000A7F"/>
    <w:rsid w:val="2720003A"/>
    <w:rsid w:val="27542623"/>
    <w:rsid w:val="276969B0"/>
    <w:rsid w:val="278155C7"/>
    <w:rsid w:val="2785012B"/>
    <w:rsid w:val="2789153E"/>
    <w:rsid w:val="27AD19DD"/>
    <w:rsid w:val="27D73F4B"/>
    <w:rsid w:val="27FE1514"/>
    <w:rsid w:val="2830778D"/>
    <w:rsid w:val="28731970"/>
    <w:rsid w:val="288D69AA"/>
    <w:rsid w:val="28AF5CAA"/>
    <w:rsid w:val="28BF7FC6"/>
    <w:rsid w:val="2987232D"/>
    <w:rsid w:val="299C1BD9"/>
    <w:rsid w:val="29B227D4"/>
    <w:rsid w:val="29BB7650"/>
    <w:rsid w:val="29DE5E64"/>
    <w:rsid w:val="29E704FD"/>
    <w:rsid w:val="2A054AD5"/>
    <w:rsid w:val="2A0974C5"/>
    <w:rsid w:val="2A10056A"/>
    <w:rsid w:val="2A414024"/>
    <w:rsid w:val="2A451713"/>
    <w:rsid w:val="2A6E65A6"/>
    <w:rsid w:val="2A725B0A"/>
    <w:rsid w:val="2A9B6EBE"/>
    <w:rsid w:val="2ACA38EB"/>
    <w:rsid w:val="2ADB6875"/>
    <w:rsid w:val="2AEF01A6"/>
    <w:rsid w:val="2B276D77"/>
    <w:rsid w:val="2B8859FE"/>
    <w:rsid w:val="2B8A444D"/>
    <w:rsid w:val="2BAB1386"/>
    <w:rsid w:val="2BDC4D14"/>
    <w:rsid w:val="2BFA3289"/>
    <w:rsid w:val="2BFB4C78"/>
    <w:rsid w:val="2C0A1DA2"/>
    <w:rsid w:val="2C1056E1"/>
    <w:rsid w:val="2C2071A3"/>
    <w:rsid w:val="2C274474"/>
    <w:rsid w:val="2C2D46C0"/>
    <w:rsid w:val="2C411DEF"/>
    <w:rsid w:val="2C6E4F5A"/>
    <w:rsid w:val="2D2F2C1E"/>
    <w:rsid w:val="2D632A80"/>
    <w:rsid w:val="2D9330EE"/>
    <w:rsid w:val="2DBB1F32"/>
    <w:rsid w:val="2DC456A6"/>
    <w:rsid w:val="2E1326C5"/>
    <w:rsid w:val="2E482D40"/>
    <w:rsid w:val="2E6B72C0"/>
    <w:rsid w:val="2E847BB6"/>
    <w:rsid w:val="2EB51FEF"/>
    <w:rsid w:val="2EC71B45"/>
    <w:rsid w:val="2F04472D"/>
    <w:rsid w:val="2F103A08"/>
    <w:rsid w:val="2F1C731C"/>
    <w:rsid w:val="2F286DFA"/>
    <w:rsid w:val="2F6E2B0B"/>
    <w:rsid w:val="2F7410BE"/>
    <w:rsid w:val="2F9F18F8"/>
    <w:rsid w:val="2FBE3873"/>
    <w:rsid w:val="2FC61ED8"/>
    <w:rsid w:val="2FEF6F9C"/>
    <w:rsid w:val="301E0C17"/>
    <w:rsid w:val="30224CC8"/>
    <w:rsid w:val="30624BB0"/>
    <w:rsid w:val="30821D61"/>
    <w:rsid w:val="30CA06DE"/>
    <w:rsid w:val="30D359B0"/>
    <w:rsid w:val="3102744E"/>
    <w:rsid w:val="311B70C3"/>
    <w:rsid w:val="31613F89"/>
    <w:rsid w:val="31FC0CFB"/>
    <w:rsid w:val="32102ACE"/>
    <w:rsid w:val="321B2593"/>
    <w:rsid w:val="324A78F0"/>
    <w:rsid w:val="325E588B"/>
    <w:rsid w:val="32664CF4"/>
    <w:rsid w:val="328864B2"/>
    <w:rsid w:val="32C347A9"/>
    <w:rsid w:val="32D33F33"/>
    <w:rsid w:val="32DB6656"/>
    <w:rsid w:val="3318415F"/>
    <w:rsid w:val="331B1FF6"/>
    <w:rsid w:val="3345161A"/>
    <w:rsid w:val="33520AC7"/>
    <w:rsid w:val="33557D2C"/>
    <w:rsid w:val="337011C6"/>
    <w:rsid w:val="3377269E"/>
    <w:rsid w:val="337D3A10"/>
    <w:rsid w:val="338E1DFA"/>
    <w:rsid w:val="33BB61BD"/>
    <w:rsid w:val="33E00910"/>
    <w:rsid w:val="33E25A78"/>
    <w:rsid w:val="33E6554B"/>
    <w:rsid w:val="340C292E"/>
    <w:rsid w:val="340F640F"/>
    <w:rsid w:val="34102B32"/>
    <w:rsid w:val="3433656E"/>
    <w:rsid w:val="34566F05"/>
    <w:rsid w:val="349D7F1C"/>
    <w:rsid w:val="34D81B3E"/>
    <w:rsid w:val="34E94C42"/>
    <w:rsid w:val="34F513A9"/>
    <w:rsid w:val="352311D3"/>
    <w:rsid w:val="352A1F83"/>
    <w:rsid w:val="354C2EC5"/>
    <w:rsid w:val="355C22D5"/>
    <w:rsid w:val="35602C7E"/>
    <w:rsid w:val="356263B6"/>
    <w:rsid w:val="359070DB"/>
    <w:rsid w:val="35932163"/>
    <w:rsid w:val="35AC55AF"/>
    <w:rsid w:val="35C85A5C"/>
    <w:rsid w:val="35CF080B"/>
    <w:rsid w:val="3617343D"/>
    <w:rsid w:val="364D0B45"/>
    <w:rsid w:val="36643E25"/>
    <w:rsid w:val="36697514"/>
    <w:rsid w:val="36A44CFB"/>
    <w:rsid w:val="36CE7836"/>
    <w:rsid w:val="36E220B8"/>
    <w:rsid w:val="376C5C4A"/>
    <w:rsid w:val="3787515B"/>
    <w:rsid w:val="379B60E0"/>
    <w:rsid w:val="37AF02F8"/>
    <w:rsid w:val="37B32952"/>
    <w:rsid w:val="37B45660"/>
    <w:rsid w:val="38134541"/>
    <w:rsid w:val="38186054"/>
    <w:rsid w:val="383D4B1E"/>
    <w:rsid w:val="38683B44"/>
    <w:rsid w:val="38763EFF"/>
    <w:rsid w:val="38C02669"/>
    <w:rsid w:val="38E7384C"/>
    <w:rsid w:val="39057BD0"/>
    <w:rsid w:val="39422B75"/>
    <w:rsid w:val="39AF7880"/>
    <w:rsid w:val="39BC5382"/>
    <w:rsid w:val="39E0604A"/>
    <w:rsid w:val="39FF2E35"/>
    <w:rsid w:val="3A3C7C47"/>
    <w:rsid w:val="3A4F2852"/>
    <w:rsid w:val="3A934905"/>
    <w:rsid w:val="3AAF1796"/>
    <w:rsid w:val="3AD306B2"/>
    <w:rsid w:val="3B0E5DB7"/>
    <w:rsid w:val="3B1B3C8D"/>
    <w:rsid w:val="3B29176B"/>
    <w:rsid w:val="3B2A52CB"/>
    <w:rsid w:val="3B2E1442"/>
    <w:rsid w:val="3B5A7C78"/>
    <w:rsid w:val="3B752986"/>
    <w:rsid w:val="3B8D5DC3"/>
    <w:rsid w:val="3B945F77"/>
    <w:rsid w:val="3BC243E2"/>
    <w:rsid w:val="3BE95C74"/>
    <w:rsid w:val="3BEA5385"/>
    <w:rsid w:val="3BEF2946"/>
    <w:rsid w:val="3C67251F"/>
    <w:rsid w:val="3CA5190D"/>
    <w:rsid w:val="3CB0230D"/>
    <w:rsid w:val="3CD37270"/>
    <w:rsid w:val="3CE43A1F"/>
    <w:rsid w:val="3CFC348B"/>
    <w:rsid w:val="3D1C1E78"/>
    <w:rsid w:val="3D464E53"/>
    <w:rsid w:val="3D893168"/>
    <w:rsid w:val="3DA9491E"/>
    <w:rsid w:val="3DAE5C18"/>
    <w:rsid w:val="3DC137A6"/>
    <w:rsid w:val="3E0940DD"/>
    <w:rsid w:val="3E1C2F6E"/>
    <w:rsid w:val="3E672E0F"/>
    <w:rsid w:val="3E9757CA"/>
    <w:rsid w:val="3EA05629"/>
    <w:rsid w:val="3ED35307"/>
    <w:rsid w:val="3EE52BB5"/>
    <w:rsid w:val="3EF041AD"/>
    <w:rsid w:val="3F083B13"/>
    <w:rsid w:val="3F3135DB"/>
    <w:rsid w:val="3F5D6C70"/>
    <w:rsid w:val="3F667054"/>
    <w:rsid w:val="3F8D4CD2"/>
    <w:rsid w:val="3F990877"/>
    <w:rsid w:val="3FA53C69"/>
    <w:rsid w:val="3FB66354"/>
    <w:rsid w:val="3FBF0CD1"/>
    <w:rsid w:val="3FD0488E"/>
    <w:rsid w:val="3FD36E47"/>
    <w:rsid w:val="3FE807DD"/>
    <w:rsid w:val="3FF411A7"/>
    <w:rsid w:val="40301DDA"/>
    <w:rsid w:val="40386CF1"/>
    <w:rsid w:val="4048387B"/>
    <w:rsid w:val="406C6C18"/>
    <w:rsid w:val="408D6233"/>
    <w:rsid w:val="40DB303E"/>
    <w:rsid w:val="40E55591"/>
    <w:rsid w:val="41292388"/>
    <w:rsid w:val="412C0D6E"/>
    <w:rsid w:val="413146A7"/>
    <w:rsid w:val="41815C3A"/>
    <w:rsid w:val="419779B9"/>
    <w:rsid w:val="41DF7F75"/>
    <w:rsid w:val="41FF7CE9"/>
    <w:rsid w:val="42114C54"/>
    <w:rsid w:val="42192972"/>
    <w:rsid w:val="42241AC6"/>
    <w:rsid w:val="42311D12"/>
    <w:rsid w:val="42A339F9"/>
    <w:rsid w:val="42A7683A"/>
    <w:rsid w:val="42D63977"/>
    <w:rsid w:val="42DB733A"/>
    <w:rsid w:val="42F76B10"/>
    <w:rsid w:val="43164770"/>
    <w:rsid w:val="43560228"/>
    <w:rsid w:val="435A7648"/>
    <w:rsid w:val="43F339F4"/>
    <w:rsid w:val="44050B73"/>
    <w:rsid w:val="44092D80"/>
    <w:rsid w:val="444F379E"/>
    <w:rsid w:val="448267A6"/>
    <w:rsid w:val="45AC643A"/>
    <w:rsid w:val="45C862BB"/>
    <w:rsid w:val="45ED2859"/>
    <w:rsid w:val="462A5E0D"/>
    <w:rsid w:val="464A4DCD"/>
    <w:rsid w:val="46607030"/>
    <w:rsid w:val="4690291A"/>
    <w:rsid w:val="46C56A6E"/>
    <w:rsid w:val="46F57C6F"/>
    <w:rsid w:val="4728147B"/>
    <w:rsid w:val="478D56A1"/>
    <w:rsid w:val="479540B8"/>
    <w:rsid w:val="47AD68A5"/>
    <w:rsid w:val="47AD7E78"/>
    <w:rsid w:val="47B0256E"/>
    <w:rsid w:val="47C9417D"/>
    <w:rsid w:val="47D0788C"/>
    <w:rsid w:val="47D43D18"/>
    <w:rsid w:val="47E50899"/>
    <w:rsid w:val="47F16E17"/>
    <w:rsid w:val="48467D8A"/>
    <w:rsid w:val="487B4257"/>
    <w:rsid w:val="48841273"/>
    <w:rsid w:val="48B41CF7"/>
    <w:rsid w:val="48B5471E"/>
    <w:rsid w:val="48B9773D"/>
    <w:rsid w:val="48D30818"/>
    <w:rsid w:val="48D561A5"/>
    <w:rsid w:val="490A76B2"/>
    <w:rsid w:val="49110DC1"/>
    <w:rsid w:val="492430F2"/>
    <w:rsid w:val="49460E85"/>
    <w:rsid w:val="49A84282"/>
    <w:rsid w:val="49C630E3"/>
    <w:rsid w:val="4A466741"/>
    <w:rsid w:val="4A59576D"/>
    <w:rsid w:val="4A7A5BD5"/>
    <w:rsid w:val="4A923FF4"/>
    <w:rsid w:val="4AC24492"/>
    <w:rsid w:val="4AE61064"/>
    <w:rsid w:val="4AED4256"/>
    <w:rsid w:val="4B07708C"/>
    <w:rsid w:val="4B12062C"/>
    <w:rsid w:val="4B767918"/>
    <w:rsid w:val="4B787087"/>
    <w:rsid w:val="4C0910DB"/>
    <w:rsid w:val="4C1B1620"/>
    <w:rsid w:val="4C2327C7"/>
    <w:rsid w:val="4C3D24D0"/>
    <w:rsid w:val="4C5636E7"/>
    <w:rsid w:val="4CE72629"/>
    <w:rsid w:val="4CE90870"/>
    <w:rsid w:val="4CF619C0"/>
    <w:rsid w:val="4CFE7359"/>
    <w:rsid w:val="4CFF6BE7"/>
    <w:rsid w:val="4D242E9C"/>
    <w:rsid w:val="4D442523"/>
    <w:rsid w:val="4D563899"/>
    <w:rsid w:val="4DC509CE"/>
    <w:rsid w:val="4DF40806"/>
    <w:rsid w:val="4DF46D2A"/>
    <w:rsid w:val="4E8A50F2"/>
    <w:rsid w:val="4EAA7B9D"/>
    <w:rsid w:val="4EBD522C"/>
    <w:rsid w:val="4EFB1904"/>
    <w:rsid w:val="4F173699"/>
    <w:rsid w:val="4F2E574E"/>
    <w:rsid w:val="4F35134E"/>
    <w:rsid w:val="4F6B7FFC"/>
    <w:rsid w:val="4F996D9B"/>
    <w:rsid w:val="4FBD7C56"/>
    <w:rsid w:val="4FD5771C"/>
    <w:rsid w:val="5002681A"/>
    <w:rsid w:val="505D3A4E"/>
    <w:rsid w:val="5067085B"/>
    <w:rsid w:val="50A93505"/>
    <w:rsid w:val="50B222A3"/>
    <w:rsid w:val="50DD0DE0"/>
    <w:rsid w:val="513C6EFD"/>
    <w:rsid w:val="51600AE4"/>
    <w:rsid w:val="51685A69"/>
    <w:rsid w:val="51BA69A9"/>
    <w:rsid w:val="51C93882"/>
    <w:rsid w:val="51E73DDA"/>
    <w:rsid w:val="52070EEB"/>
    <w:rsid w:val="52845DAB"/>
    <w:rsid w:val="52BF615C"/>
    <w:rsid w:val="52C40F25"/>
    <w:rsid w:val="52F878B2"/>
    <w:rsid w:val="531D3565"/>
    <w:rsid w:val="53B84D3C"/>
    <w:rsid w:val="53C625F7"/>
    <w:rsid w:val="543177EC"/>
    <w:rsid w:val="543F1BF7"/>
    <w:rsid w:val="54871A99"/>
    <w:rsid w:val="5495101E"/>
    <w:rsid w:val="54B04E34"/>
    <w:rsid w:val="557A38C4"/>
    <w:rsid w:val="559B6B76"/>
    <w:rsid w:val="56323994"/>
    <w:rsid w:val="565F47F0"/>
    <w:rsid w:val="567A3956"/>
    <w:rsid w:val="568F456A"/>
    <w:rsid w:val="5697508F"/>
    <w:rsid w:val="56B642D7"/>
    <w:rsid w:val="56E954B6"/>
    <w:rsid w:val="571C58BC"/>
    <w:rsid w:val="57723956"/>
    <w:rsid w:val="578A68B4"/>
    <w:rsid w:val="579B44CF"/>
    <w:rsid w:val="57BB07CA"/>
    <w:rsid w:val="57C16807"/>
    <w:rsid w:val="57F85397"/>
    <w:rsid w:val="58A128B0"/>
    <w:rsid w:val="58B94F84"/>
    <w:rsid w:val="58BB5082"/>
    <w:rsid w:val="58BD3207"/>
    <w:rsid w:val="592476FE"/>
    <w:rsid w:val="5925607B"/>
    <w:rsid w:val="593B39F1"/>
    <w:rsid w:val="594A612D"/>
    <w:rsid w:val="595F5DBE"/>
    <w:rsid w:val="59A70D8C"/>
    <w:rsid w:val="5A3D6A83"/>
    <w:rsid w:val="5A49400B"/>
    <w:rsid w:val="5A6718E7"/>
    <w:rsid w:val="5AB237DF"/>
    <w:rsid w:val="5AB85D57"/>
    <w:rsid w:val="5AD709E2"/>
    <w:rsid w:val="5AE62BB0"/>
    <w:rsid w:val="5B0F65E6"/>
    <w:rsid w:val="5B293C39"/>
    <w:rsid w:val="5B2C4F5E"/>
    <w:rsid w:val="5B512314"/>
    <w:rsid w:val="5B737C3F"/>
    <w:rsid w:val="5B97645A"/>
    <w:rsid w:val="5C194E56"/>
    <w:rsid w:val="5C2F1CBC"/>
    <w:rsid w:val="5C5A0EDA"/>
    <w:rsid w:val="5C786E8F"/>
    <w:rsid w:val="5C960F46"/>
    <w:rsid w:val="5CB67A6A"/>
    <w:rsid w:val="5CEE0B86"/>
    <w:rsid w:val="5D310FB4"/>
    <w:rsid w:val="5D447867"/>
    <w:rsid w:val="5D611AAF"/>
    <w:rsid w:val="5D9037C0"/>
    <w:rsid w:val="5DD83BB1"/>
    <w:rsid w:val="5E075B81"/>
    <w:rsid w:val="5E387829"/>
    <w:rsid w:val="5E4430A3"/>
    <w:rsid w:val="5E4B7790"/>
    <w:rsid w:val="5E6029F3"/>
    <w:rsid w:val="5E9B3818"/>
    <w:rsid w:val="5EC40C21"/>
    <w:rsid w:val="5EFA6928"/>
    <w:rsid w:val="5F0721D0"/>
    <w:rsid w:val="5F387550"/>
    <w:rsid w:val="5F9A1AD4"/>
    <w:rsid w:val="5F9A7B07"/>
    <w:rsid w:val="5F9D5CB5"/>
    <w:rsid w:val="5FAA6FA7"/>
    <w:rsid w:val="5FB351B8"/>
    <w:rsid w:val="5FFD2FEF"/>
    <w:rsid w:val="60176A4B"/>
    <w:rsid w:val="605A0A4B"/>
    <w:rsid w:val="608D6957"/>
    <w:rsid w:val="60C541E3"/>
    <w:rsid w:val="60F16780"/>
    <w:rsid w:val="613359D0"/>
    <w:rsid w:val="61464D49"/>
    <w:rsid w:val="61563DB6"/>
    <w:rsid w:val="61672403"/>
    <w:rsid w:val="616F6EF9"/>
    <w:rsid w:val="619007EA"/>
    <w:rsid w:val="619175FB"/>
    <w:rsid w:val="61D539F6"/>
    <w:rsid w:val="622A40EB"/>
    <w:rsid w:val="62815D45"/>
    <w:rsid w:val="62835A0A"/>
    <w:rsid w:val="62893374"/>
    <w:rsid w:val="62EB7123"/>
    <w:rsid w:val="62EC310B"/>
    <w:rsid w:val="62F81ACF"/>
    <w:rsid w:val="632509AB"/>
    <w:rsid w:val="632F3458"/>
    <w:rsid w:val="63304B6D"/>
    <w:rsid w:val="63460AC7"/>
    <w:rsid w:val="634E607C"/>
    <w:rsid w:val="63716642"/>
    <w:rsid w:val="63993CA3"/>
    <w:rsid w:val="63E219A7"/>
    <w:rsid w:val="641A211E"/>
    <w:rsid w:val="643437B7"/>
    <w:rsid w:val="644845F9"/>
    <w:rsid w:val="64A970E8"/>
    <w:rsid w:val="64C80CF7"/>
    <w:rsid w:val="650E5EFE"/>
    <w:rsid w:val="6526771E"/>
    <w:rsid w:val="6538449B"/>
    <w:rsid w:val="654C15C1"/>
    <w:rsid w:val="654D4C73"/>
    <w:rsid w:val="655B10B9"/>
    <w:rsid w:val="65861243"/>
    <w:rsid w:val="661151B2"/>
    <w:rsid w:val="663A3943"/>
    <w:rsid w:val="666128D9"/>
    <w:rsid w:val="66642A94"/>
    <w:rsid w:val="6665451F"/>
    <w:rsid w:val="667D540F"/>
    <w:rsid w:val="66BE2532"/>
    <w:rsid w:val="66CC0828"/>
    <w:rsid w:val="67115FFD"/>
    <w:rsid w:val="67265760"/>
    <w:rsid w:val="676C194E"/>
    <w:rsid w:val="67707432"/>
    <w:rsid w:val="677B4FBC"/>
    <w:rsid w:val="67840FB6"/>
    <w:rsid w:val="67AF037A"/>
    <w:rsid w:val="67B72146"/>
    <w:rsid w:val="67B83682"/>
    <w:rsid w:val="67C3697D"/>
    <w:rsid w:val="67ED09E7"/>
    <w:rsid w:val="68167FA4"/>
    <w:rsid w:val="684D1937"/>
    <w:rsid w:val="687F3BDB"/>
    <w:rsid w:val="688631E7"/>
    <w:rsid w:val="68986FCB"/>
    <w:rsid w:val="68E72A96"/>
    <w:rsid w:val="69090773"/>
    <w:rsid w:val="691C367B"/>
    <w:rsid w:val="69492823"/>
    <w:rsid w:val="694E1A09"/>
    <w:rsid w:val="695A65B2"/>
    <w:rsid w:val="69A15696"/>
    <w:rsid w:val="69E1476F"/>
    <w:rsid w:val="69E41722"/>
    <w:rsid w:val="69E948DD"/>
    <w:rsid w:val="6A3104D6"/>
    <w:rsid w:val="6A83479F"/>
    <w:rsid w:val="6A8869A7"/>
    <w:rsid w:val="6A8F74E9"/>
    <w:rsid w:val="6AA84142"/>
    <w:rsid w:val="6AB078CD"/>
    <w:rsid w:val="6AC01AFD"/>
    <w:rsid w:val="6ACB7804"/>
    <w:rsid w:val="6B1364F6"/>
    <w:rsid w:val="6B1766FC"/>
    <w:rsid w:val="6B3B60BE"/>
    <w:rsid w:val="6B4366DA"/>
    <w:rsid w:val="6B464CE2"/>
    <w:rsid w:val="6B8539DE"/>
    <w:rsid w:val="6BC46D81"/>
    <w:rsid w:val="6BD27DBC"/>
    <w:rsid w:val="6BDE6BB6"/>
    <w:rsid w:val="6BEA02FD"/>
    <w:rsid w:val="6C056ECB"/>
    <w:rsid w:val="6C1F279F"/>
    <w:rsid w:val="6C2F695A"/>
    <w:rsid w:val="6C486000"/>
    <w:rsid w:val="6C492638"/>
    <w:rsid w:val="6C910021"/>
    <w:rsid w:val="6CE67592"/>
    <w:rsid w:val="6CEA7056"/>
    <w:rsid w:val="6CEE7EB3"/>
    <w:rsid w:val="6D237283"/>
    <w:rsid w:val="6D241177"/>
    <w:rsid w:val="6D3145D2"/>
    <w:rsid w:val="6D903605"/>
    <w:rsid w:val="6D906B86"/>
    <w:rsid w:val="6DBB51D6"/>
    <w:rsid w:val="6DD54EEE"/>
    <w:rsid w:val="6E0631A1"/>
    <w:rsid w:val="6E686037"/>
    <w:rsid w:val="6E801BE0"/>
    <w:rsid w:val="6E965DC1"/>
    <w:rsid w:val="6EC8126F"/>
    <w:rsid w:val="6EF4634D"/>
    <w:rsid w:val="6F1E0D79"/>
    <w:rsid w:val="6F77414D"/>
    <w:rsid w:val="6F7E6883"/>
    <w:rsid w:val="6F962094"/>
    <w:rsid w:val="6FA118F8"/>
    <w:rsid w:val="6FA41F18"/>
    <w:rsid w:val="6FE87B06"/>
    <w:rsid w:val="6FEB035D"/>
    <w:rsid w:val="700F6527"/>
    <w:rsid w:val="701B214D"/>
    <w:rsid w:val="70266F13"/>
    <w:rsid w:val="702855C3"/>
    <w:rsid w:val="70424356"/>
    <w:rsid w:val="705927A8"/>
    <w:rsid w:val="7091670C"/>
    <w:rsid w:val="70A025BF"/>
    <w:rsid w:val="70C44086"/>
    <w:rsid w:val="70CC03DA"/>
    <w:rsid w:val="70DB2C75"/>
    <w:rsid w:val="71560DF9"/>
    <w:rsid w:val="717B68B1"/>
    <w:rsid w:val="7182596A"/>
    <w:rsid w:val="71A76E27"/>
    <w:rsid w:val="71E633C6"/>
    <w:rsid w:val="71F228DD"/>
    <w:rsid w:val="721D232B"/>
    <w:rsid w:val="72B44581"/>
    <w:rsid w:val="72D0314C"/>
    <w:rsid w:val="72E948A9"/>
    <w:rsid w:val="733464BB"/>
    <w:rsid w:val="73355B29"/>
    <w:rsid w:val="735B68AB"/>
    <w:rsid w:val="73790995"/>
    <w:rsid w:val="73E913DF"/>
    <w:rsid w:val="740D0014"/>
    <w:rsid w:val="743220E6"/>
    <w:rsid w:val="746E6D50"/>
    <w:rsid w:val="747B24ED"/>
    <w:rsid w:val="74C45B10"/>
    <w:rsid w:val="74D603A9"/>
    <w:rsid w:val="75B17AB3"/>
    <w:rsid w:val="75CE1922"/>
    <w:rsid w:val="760106D0"/>
    <w:rsid w:val="76291F79"/>
    <w:rsid w:val="766D0CC9"/>
    <w:rsid w:val="769E6BAB"/>
    <w:rsid w:val="76B6198A"/>
    <w:rsid w:val="76CF7EB7"/>
    <w:rsid w:val="77002AAD"/>
    <w:rsid w:val="77330BEF"/>
    <w:rsid w:val="77506A0A"/>
    <w:rsid w:val="77B2699A"/>
    <w:rsid w:val="77C309EF"/>
    <w:rsid w:val="78544B21"/>
    <w:rsid w:val="785730FF"/>
    <w:rsid w:val="78984406"/>
    <w:rsid w:val="78B57321"/>
    <w:rsid w:val="7912006D"/>
    <w:rsid w:val="791F5A62"/>
    <w:rsid w:val="7949345A"/>
    <w:rsid w:val="79550A79"/>
    <w:rsid w:val="79BB1879"/>
    <w:rsid w:val="79DA2FDE"/>
    <w:rsid w:val="7A5D2B9E"/>
    <w:rsid w:val="7A6E6E16"/>
    <w:rsid w:val="7A721667"/>
    <w:rsid w:val="7A800DC8"/>
    <w:rsid w:val="7B223CC1"/>
    <w:rsid w:val="7B2C6525"/>
    <w:rsid w:val="7B463C23"/>
    <w:rsid w:val="7B55372E"/>
    <w:rsid w:val="7B653207"/>
    <w:rsid w:val="7BAF00D5"/>
    <w:rsid w:val="7BB74580"/>
    <w:rsid w:val="7BBE7CED"/>
    <w:rsid w:val="7BE97B37"/>
    <w:rsid w:val="7C490D40"/>
    <w:rsid w:val="7C4E18BF"/>
    <w:rsid w:val="7C8410D5"/>
    <w:rsid w:val="7D4900C0"/>
    <w:rsid w:val="7D5555DE"/>
    <w:rsid w:val="7DB12A08"/>
    <w:rsid w:val="7DBD646D"/>
    <w:rsid w:val="7DE65AA9"/>
    <w:rsid w:val="7DFA6259"/>
    <w:rsid w:val="7E06232E"/>
    <w:rsid w:val="7E0A787B"/>
    <w:rsid w:val="7E1B705A"/>
    <w:rsid w:val="7E6B43CC"/>
    <w:rsid w:val="7E964DFA"/>
    <w:rsid w:val="7EEB7563"/>
    <w:rsid w:val="7F1A7EF8"/>
    <w:rsid w:val="7F612313"/>
    <w:rsid w:val="7F8F18EC"/>
    <w:rsid w:val="7FDF6264"/>
    <w:rsid w:val="B7F76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72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1"/>
    <w:next w:val="1"/>
    <w:link w:val="31"/>
    <w:qFormat/>
    <w:uiPriority w:val="0"/>
    <w:pPr>
      <w:keepNext/>
      <w:keepLines/>
      <w:spacing w:beforeLines="0" w:beforeAutospacing="0" w:afterLines="0" w:afterAutospacing="0" w:line="580" w:lineRule="exact"/>
      <w:ind w:firstLine="0" w:firstLineChars="0"/>
      <w:outlineLvl w:val="0"/>
    </w:pPr>
    <w:rPr>
      <w:rFonts w:ascii="Times New Roman" w:hAnsi="Times New Roman" w:eastAsia="黑体"/>
      <w:b/>
      <w:kern w:val="44"/>
      <w:sz w:val="32"/>
      <w:szCs w:val="32"/>
    </w:rPr>
  </w:style>
  <w:style w:type="paragraph" w:styleId="2">
    <w:name w:val="heading 2"/>
    <w:basedOn w:val="1"/>
    <w:next w:val="1"/>
    <w:unhideWhenUsed/>
    <w:qFormat/>
    <w:uiPriority w:val="0"/>
    <w:pPr>
      <w:keepNext/>
      <w:keepLines/>
      <w:spacing w:beforeLines="0" w:beforeAutospacing="0" w:afterLines="0" w:afterAutospacing="0" w:line="580" w:lineRule="exact"/>
      <w:outlineLvl w:val="1"/>
    </w:pPr>
    <w:rPr>
      <w:rFonts w:ascii="Arial" w:hAnsi="Arial" w:eastAsia="楷体"/>
    </w:rPr>
  </w:style>
  <w:style w:type="paragraph" w:styleId="4">
    <w:name w:val="heading 3"/>
    <w:basedOn w:val="1"/>
    <w:next w:val="1"/>
    <w:unhideWhenUsed/>
    <w:qFormat/>
    <w:uiPriority w:val="0"/>
    <w:pPr>
      <w:spacing w:before="0" w:beforeAutospacing="1" w:after="0" w:afterAutospacing="1"/>
      <w:jc w:val="left"/>
      <w:outlineLvl w:val="2"/>
    </w:pPr>
    <w:rPr>
      <w:rFonts w:hint="eastAsia" w:ascii="Times New Roman" w:hAnsi="Times New Roman" w:eastAsia="仿宋" w:cs="Times New Roman"/>
      <w:b/>
      <w:kern w:val="0"/>
      <w:sz w:val="32"/>
      <w:szCs w:val="32"/>
      <w:lang w:bidi="ar"/>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next w:val="1"/>
    <w:qFormat/>
    <w:uiPriority w:val="99"/>
    <w:pPr>
      <w:widowControl w:val="0"/>
      <w:adjustRightInd w:val="0"/>
      <w:snapToGrid w:val="0"/>
      <w:ind w:left="210" w:leftChars="100" w:firstLine="420" w:firstLineChars="200"/>
      <w:jc w:val="both"/>
    </w:pPr>
    <w:rPr>
      <w:rFonts w:ascii="Times New Roman" w:hAnsi="Times New Roman" w:eastAsia="宋体" w:cs="Times New Roman"/>
      <w:kern w:val="2"/>
      <w:sz w:val="21"/>
      <w:szCs w:val="24"/>
      <w:lang w:val="en-US" w:eastAsia="zh-CN" w:bidi="ar-SA"/>
    </w:rPr>
  </w:style>
  <w:style w:type="paragraph" w:styleId="6">
    <w:name w:val="annotation text"/>
    <w:basedOn w:val="1"/>
    <w:qFormat/>
    <w:uiPriority w:val="0"/>
    <w:pPr>
      <w:jc w:val="left"/>
    </w:pPr>
  </w:style>
  <w:style w:type="paragraph" w:styleId="7">
    <w:name w:val="Body Text Indent"/>
    <w:basedOn w:val="1"/>
    <w:qFormat/>
    <w:uiPriority w:val="0"/>
    <w:pPr>
      <w:ind w:firstLine="645"/>
    </w:pPr>
    <w:rPr>
      <w:rFonts w:ascii="楷体_GB2312" w:hAnsi="楷体_GB2312" w:eastAsia="仿宋_GB231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rPr>
      <w:rFonts w:ascii="Times New Roman" w:hAnsi="Times New Roman" w:eastAsia="黑体"/>
    </w:rPr>
  </w:style>
  <w:style w:type="paragraph" w:styleId="11">
    <w:name w:val="toc 2"/>
    <w:basedOn w:val="1"/>
    <w:next w:val="1"/>
    <w:qFormat/>
    <w:uiPriority w:val="0"/>
    <w:pPr>
      <w:ind w:left="420" w:leftChars="200"/>
    </w:pPr>
    <w:rPr>
      <w:rFonts w:ascii="Times New Roman" w:hAnsi="Times New Roman" w:eastAsia="楷体"/>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7"/>
    <w:qFormat/>
    <w:uiPriority w:val="0"/>
    <w:pPr>
      <w:spacing w:after="120"/>
      <w:ind w:leftChars="200" w:firstLine="420" w:firstLineChars="200"/>
    </w:pPr>
    <w:rPr>
      <w:rFonts w:ascii="Times New Roman" w:eastAsia="宋体"/>
      <w:sz w:val="21"/>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FollowedHyperlink"/>
    <w:basedOn w:val="16"/>
    <w:qFormat/>
    <w:uiPriority w:val="0"/>
    <w:rPr>
      <w:color w:val="000000"/>
      <w:sz w:val="18"/>
      <w:szCs w:val="18"/>
      <w:u w:val="none"/>
    </w:rPr>
  </w:style>
  <w:style w:type="character" w:styleId="19">
    <w:name w:val="Hyperlink"/>
    <w:basedOn w:val="16"/>
    <w:qFormat/>
    <w:uiPriority w:val="0"/>
    <w:rPr>
      <w:color w:val="0000FF"/>
      <w:u w:val="single"/>
    </w:rPr>
  </w:style>
  <w:style w:type="paragraph" w:customStyle="1" w:styleId="20">
    <w:name w:val="正文文本首行缩进 21"/>
    <w:basedOn w:val="7"/>
    <w:qFormat/>
    <w:uiPriority w:val="0"/>
    <w:pPr>
      <w:ind w:firstLine="420" w:firstLineChars="200"/>
    </w:pPr>
  </w:style>
  <w:style w:type="paragraph" w:customStyle="1" w:styleId="2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
    <w:name w:val="NormalCharacter"/>
    <w:semiHidden/>
    <w:qFormat/>
    <w:uiPriority w:val="0"/>
    <w:rPr>
      <w:rFonts w:eastAsia="方正仿宋_GBK" w:asciiTheme="minorHAnsi" w:hAnsiTheme="minorHAnsi" w:cstheme="minorBidi"/>
      <w:kern w:val="2"/>
      <w:sz w:val="32"/>
      <w:szCs w:val="24"/>
      <w:lang w:val="en-US" w:eastAsia="zh-CN" w:bidi="ar-SA"/>
    </w:rPr>
  </w:style>
  <w:style w:type="character" w:customStyle="1" w:styleId="23">
    <w:name w:val="font41"/>
    <w:basedOn w:val="16"/>
    <w:qFormat/>
    <w:uiPriority w:val="0"/>
    <w:rPr>
      <w:rFonts w:hint="eastAsia" w:ascii="宋体" w:hAnsi="宋体" w:eastAsia="宋体" w:cs="宋体"/>
      <w:color w:val="000000"/>
      <w:sz w:val="22"/>
      <w:szCs w:val="22"/>
      <w:u w:val="none"/>
    </w:rPr>
  </w:style>
  <w:style w:type="character" w:customStyle="1" w:styleId="24">
    <w:name w:val="font31"/>
    <w:basedOn w:val="16"/>
    <w:qFormat/>
    <w:uiPriority w:val="0"/>
    <w:rPr>
      <w:rFonts w:hint="default" w:ascii="Times New Roman" w:hAnsi="Times New Roman" w:cs="Times New Roman"/>
      <w:color w:val="000000"/>
      <w:sz w:val="22"/>
      <w:szCs w:val="22"/>
      <w:u w:val="none"/>
    </w:rPr>
  </w:style>
  <w:style w:type="character" w:customStyle="1" w:styleId="25">
    <w:name w:val="font01"/>
    <w:basedOn w:val="16"/>
    <w:qFormat/>
    <w:uiPriority w:val="0"/>
    <w:rPr>
      <w:rFonts w:hint="eastAsia" w:ascii="宋体" w:hAnsi="宋体" w:eastAsia="宋体" w:cs="宋体"/>
      <w:color w:val="000000"/>
      <w:sz w:val="22"/>
      <w:szCs w:val="22"/>
      <w:u w:val="none"/>
    </w:rPr>
  </w:style>
  <w:style w:type="character" w:customStyle="1" w:styleId="26">
    <w:name w:val="font11"/>
    <w:basedOn w:val="16"/>
    <w:qFormat/>
    <w:uiPriority w:val="0"/>
    <w:rPr>
      <w:rFonts w:hint="eastAsia" w:ascii="宋体" w:hAnsi="宋体" w:eastAsia="宋体" w:cs="宋体"/>
      <w:color w:val="000000"/>
      <w:sz w:val="22"/>
      <w:szCs w:val="22"/>
      <w:u w:val="none"/>
    </w:rPr>
  </w:style>
  <w:style w:type="character" w:customStyle="1" w:styleId="27">
    <w:name w:val="font21"/>
    <w:basedOn w:val="16"/>
    <w:qFormat/>
    <w:uiPriority w:val="0"/>
    <w:rPr>
      <w:rFonts w:hint="eastAsia" w:ascii="宋体" w:hAnsi="宋体" w:eastAsia="宋体" w:cs="宋体"/>
      <w:color w:val="000000"/>
      <w:sz w:val="22"/>
      <w:szCs w:val="22"/>
      <w:u w:val="none"/>
    </w:rPr>
  </w:style>
  <w:style w:type="character" w:customStyle="1" w:styleId="28">
    <w:name w:val="font51"/>
    <w:basedOn w:val="16"/>
    <w:qFormat/>
    <w:uiPriority w:val="0"/>
    <w:rPr>
      <w:rFonts w:hint="default" w:ascii="Times New Roman" w:hAnsi="Times New Roman" w:cs="Times New Roman"/>
      <w:color w:val="000000"/>
      <w:sz w:val="22"/>
      <w:szCs w:val="22"/>
      <w:u w:val="none"/>
    </w:rPr>
  </w:style>
  <w:style w:type="character" w:customStyle="1" w:styleId="29">
    <w:name w:val="font61"/>
    <w:basedOn w:val="16"/>
    <w:qFormat/>
    <w:uiPriority w:val="0"/>
    <w:rPr>
      <w:rFonts w:hint="eastAsia" w:ascii="宋体" w:hAnsi="宋体" w:eastAsia="宋体" w:cs="宋体"/>
      <w:color w:val="000000"/>
      <w:sz w:val="22"/>
      <w:szCs w:val="22"/>
      <w:u w:val="none"/>
    </w:rPr>
  </w:style>
  <w:style w:type="character" w:customStyle="1" w:styleId="30">
    <w:name w:val="font71"/>
    <w:basedOn w:val="16"/>
    <w:qFormat/>
    <w:uiPriority w:val="0"/>
    <w:rPr>
      <w:rFonts w:hint="default" w:ascii="Times New Roman" w:hAnsi="Times New Roman" w:cs="Times New Roman"/>
      <w:color w:val="000000"/>
      <w:sz w:val="22"/>
      <w:szCs w:val="22"/>
      <w:u w:val="none"/>
    </w:rPr>
  </w:style>
  <w:style w:type="character" w:customStyle="1" w:styleId="31">
    <w:name w:val="标题 1 Char"/>
    <w:link w:val="3"/>
    <w:qFormat/>
    <w:uiPriority w:val="0"/>
    <w:rPr>
      <w:rFonts w:ascii="Times New Roman" w:hAnsi="Times New Roman" w:eastAsia="黑体"/>
      <w:b/>
      <w:kern w:val="44"/>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19035</Words>
  <Characters>20685</Characters>
  <Lines>0</Lines>
  <Paragraphs>0</Paragraphs>
  <TotalTime>7</TotalTime>
  <ScaleCrop>false</ScaleCrop>
  <LinksUpToDate>false</LinksUpToDate>
  <CharactersWithSpaces>21745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2020-05-29T15:07:00Z</dcterms:created>
  <dc:creator>ZF</dc:creator>
  <cp:lastModifiedBy>G Y</cp:lastModifiedBy>
  <cp:lastPrinted>2021-10-25T10:28:00Z</cp:lastPrinted>
  <dcterms:modified xsi:type="dcterms:W3CDTF">2021-11-16T01:09:34Z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KSOSaveFontToCloudKey">
    <vt:lpwstr>344501297_cloud</vt:lpwstr>
  </property>
  <property fmtid="{D5CDD505-2E9C-101B-9397-08002B2CF9AE}" pid="4" name="ICV">
    <vt:lpwstr>B11836A13ADA46DF969B3369EF55F6A9</vt:lpwstr>
  </property>
</Properties>
</file>