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firstLine="562"/>
        <w:rPr>
          <w:b/>
          <w:sz w:val="28"/>
          <w:szCs w:val="28"/>
        </w:rPr>
      </w:pPr>
    </w:p>
    <w:p>
      <w:pPr>
        <w:pStyle w:val="2"/>
        <w:ind w:firstLine="562"/>
        <w:rPr>
          <w:b/>
          <w:sz w:val="28"/>
          <w:szCs w:val="28"/>
        </w:rPr>
      </w:pPr>
    </w:p>
    <w:p>
      <w:pPr>
        <w:pStyle w:val="2"/>
        <w:ind w:firstLine="562"/>
        <w:rPr>
          <w:b/>
          <w:sz w:val="28"/>
          <w:szCs w:val="28"/>
        </w:rPr>
      </w:pPr>
    </w:p>
    <w:p>
      <w:pPr>
        <w:ind w:firstLine="0" w:firstLineChars="0"/>
        <w:jc w:val="center"/>
        <w:rPr>
          <w:rFonts w:eastAsia="方正小标宋_GBK"/>
          <w:b/>
          <w:bCs/>
          <w:sz w:val="52"/>
          <w:szCs w:val="52"/>
        </w:rPr>
      </w:pPr>
      <w:r>
        <w:rPr>
          <w:rFonts w:eastAsia="方正小标宋_GBK"/>
          <w:b/>
          <w:bCs/>
          <w:sz w:val="52"/>
          <w:szCs w:val="52"/>
        </w:rPr>
        <w:t>玉溪市“十四五”</w:t>
      </w:r>
      <w:r>
        <w:rPr>
          <w:rFonts w:hint="eastAsia" w:eastAsia="方正小标宋_GBK"/>
          <w:b/>
          <w:bCs/>
          <w:sz w:val="52"/>
          <w:szCs w:val="52"/>
        </w:rPr>
        <w:t>绿色</w:t>
      </w:r>
      <w:r>
        <w:rPr>
          <w:rFonts w:eastAsia="方正小标宋_GBK"/>
          <w:b/>
          <w:bCs/>
          <w:sz w:val="52"/>
          <w:szCs w:val="52"/>
        </w:rPr>
        <w:t>食品</w:t>
      </w:r>
      <w:r>
        <w:rPr>
          <w:rFonts w:hint="eastAsia" w:eastAsia="方正小标宋_GBK"/>
          <w:b/>
          <w:bCs/>
          <w:sz w:val="52"/>
          <w:szCs w:val="52"/>
        </w:rPr>
        <w:t>制造业</w:t>
      </w:r>
    </w:p>
    <w:p>
      <w:pPr>
        <w:ind w:firstLine="0" w:firstLineChars="0"/>
        <w:jc w:val="center"/>
        <w:rPr>
          <w:rFonts w:eastAsia="方正小标宋_GBK"/>
          <w:b/>
          <w:bCs/>
          <w:sz w:val="52"/>
          <w:szCs w:val="52"/>
        </w:rPr>
      </w:pPr>
    </w:p>
    <w:p>
      <w:pPr>
        <w:ind w:firstLine="0" w:firstLineChars="0"/>
        <w:jc w:val="center"/>
        <w:rPr>
          <w:rFonts w:eastAsia="方正小标宋_GBK"/>
          <w:b/>
          <w:bCs/>
          <w:sz w:val="52"/>
          <w:szCs w:val="52"/>
        </w:rPr>
      </w:pPr>
    </w:p>
    <w:p>
      <w:pPr>
        <w:ind w:firstLine="0" w:firstLineChars="0"/>
        <w:jc w:val="center"/>
        <w:rPr>
          <w:rFonts w:eastAsia="方正小标宋_GBK"/>
          <w:b/>
          <w:bCs/>
          <w:sz w:val="52"/>
          <w:szCs w:val="52"/>
        </w:rPr>
      </w:pPr>
      <w:r>
        <w:rPr>
          <w:rFonts w:hint="eastAsia" w:eastAsia="方正小标宋_GBK"/>
          <w:b/>
          <w:bCs/>
          <w:sz w:val="52"/>
          <w:szCs w:val="52"/>
        </w:rPr>
        <w:t>发展</w:t>
      </w:r>
      <w:r>
        <w:rPr>
          <w:rFonts w:eastAsia="方正小标宋_GBK"/>
          <w:b/>
          <w:bCs/>
          <w:sz w:val="52"/>
          <w:szCs w:val="52"/>
        </w:rPr>
        <w:t>规划</w:t>
      </w:r>
    </w:p>
    <w:p>
      <w:pPr>
        <w:ind w:firstLine="0" w:firstLineChars="0"/>
        <w:jc w:val="center"/>
        <w:rPr>
          <w:rFonts w:eastAsia="方正小标宋_GBK"/>
          <w:b/>
          <w:bCs/>
          <w:sz w:val="52"/>
          <w:szCs w:val="52"/>
        </w:rPr>
      </w:pPr>
    </w:p>
    <w:p>
      <w:pPr>
        <w:ind w:firstLine="0" w:firstLineChars="0"/>
        <w:jc w:val="center"/>
        <w:rPr>
          <w:rFonts w:eastAsia="方正小标宋_GBK"/>
          <w:b/>
          <w:bCs/>
          <w:sz w:val="52"/>
          <w:szCs w:val="52"/>
        </w:rPr>
      </w:pPr>
      <w:r>
        <w:rPr>
          <w:rFonts w:hint="eastAsia" w:eastAsia="方正小标宋_GBK"/>
          <w:b/>
          <w:bCs/>
          <w:sz w:val="52"/>
          <w:szCs w:val="52"/>
        </w:rPr>
        <w:t>（2021-2025年）</w:t>
      </w:r>
    </w:p>
    <w:p>
      <w:pPr>
        <w:ind w:firstLine="562"/>
        <w:jc w:val="left"/>
        <w:rPr>
          <w:b/>
          <w:bCs/>
          <w:sz w:val="28"/>
          <w:szCs w:val="28"/>
        </w:rPr>
      </w:pPr>
    </w:p>
    <w:p>
      <w:pPr>
        <w:ind w:firstLine="562"/>
        <w:jc w:val="left"/>
        <w:rPr>
          <w:b/>
          <w:bCs/>
          <w:sz w:val="28"/>
          <w:szCs w:val="28"/>
        </w:rPr>
      </w:pPr>
    </w:p>
    <w:p>
      <w:pPr>
        <w:ind w:firstLine="562"/>
        <w:jc w:val="left"/>
        <w:rPr>
          <w:b/>
          <w:bCs/>
          <w:sz w:val="28"/>
          <w:szCs w:val="28"/>
        </w:rPr>
      </w:pPr>
    </w:p>
    <w:p>
      <w:pPr>
        <w:pStyle w:val="2"/>
        <w:ind w:firstLine="562"/>
        <w:rPr>
          <w:b/>
          <w:bCs/>
          <w:sz w:val="28"/>
          <w:szCs w:val="28"/>
        </w:rPr>
      </w:pPr>
    </w:p>
    <w:p>
      <w:pPr>
        <w:pStyle w:val="2"/>
        <w:ind w:firstLine="562"/>
        <w:rPr>
          <w:b/>
          <w:bCs/>
          <w:sz w:val="28"/>
          <w:szCs w:val="28"/>
        </w:rPr>
      </w:pPr>
    </w:p>
    <w:p>
      <w:pPr>
        <w:pStyle w:val="2"/>
        <w:ind w:firstLine="0" w:firstLineChars="0"/>
        <w:jc w:val="both"/>
        <w:rPr>
          <w:b/>
          <w:bCs/>
          <w:sz w:val="28"/>
          <w:szCs w:val="28"/>
        </w:rPr>
      </w:pPr>
    </w:p>
    <w:p>
      <w:pPr>
        <w:pStyle w:val="2"/>
        <w:ind w:firstLine="562"/>
        <w:rPr>
          <w:b/>
          <w:bCs/>
          <w:sz w:val="28"/>
          <w:szCs w:val="28"/>
        </w:rPr>
      </w:pPr>
    </w:p>
    <w:p>
      <w:pPr>
        <w:ind w:firstLine="0" w:firstLineChars="0"/>
        <w:rPr>
          <w:rFonts w:eastAsia="方正仿宋_GBK"/>
          <w:sz w:val="36"/>
          <w:szCs w:val="36"/>
        </w:rPr>
      </w:pPr>
    </w:p>
    <w:p>
      <w:pPr>
        <w:pStyle w:val="2"/>
        <w:ind w:firstLine="0" w:firstLineChars="0"/>
        <w:jc w:val="both"/>
        <w:rPr>
          <w:rFonts w:eastAsia="方正仿宋_GBK"/>
          <w:sz w:val="36"/>
          <w:szCs w:val="36"/>
        </w:rPr>
      </w:pPr>
    </w:p>
    <w:p>
      <w:pPr>
        <w:pStyle w:val="2"/>
        <w:ind w:firstLine="0" w:firstLineChars="0"/>
        <w:jc w:val="both"/>
        <w:rPr>
          <w:rFonts w:ascii="黑体" w:hAnsi="黑体" w:eastAsia="黑体" w:cs="黑体"/>
          <w:sz w:val="36"/>
          <w:szCs w:val="36"/>
        </w:rPr>
      </w:pPr>
    </w:p>
    <w:p>
      <w:pPr>
        <w:pStyle w:val="2"/>
        <w:ind w:firstLine="720"/>
        <w:rPr>
          <w:rFonts w:ascii="黑体" w:hAnsi="黑体" w:eastAsia="黑体" w:cs="黑体"/>
          <w:sz w:val="36"/>
          <w:szCs w:val="36"/>
        </w:rPr>
      </w:pPr>
      <w:r>
        <w:rPr>
          <w:rFonts w:hint="eastAsia" w:ascii="黑体" w:hAnsi="黑体" w:eastAsia="黑体" w:cs="黑体"/>
          <w:sz w:val="36"/>
          <w:szCs w:val="36"/>
        </w:rPr>
        <w:t>云南普洛特企业管理咨询有限公司</w:t>
      </w:r>
    </w:p>
    <w:p>
      <w:pPr>
        <w:pStyle w:val="2"/>
        <w:ind w:firstLine="720"/>
        <w:rPr>
          <w:rFonts w:ascii="黑体" w:hAnsi="黑体" w:eastAsia="黑体" w:cs="黑体"/>
          <w:sz w:val="36"/>
          <w:szCs w:val="36"/>
        </w:rPr>
      </w:pPr>
      <w:r>
        <w:rPr>
          <w:rFonts w:hint="eastAsia" w:ascii="黑体" w:hAnsi="黑体" w:eastAsia="黑体" w:cs="黑体"/>
          <w:sz w:val="36"/>
          <w:szCs w:val="36"/>
        </w:rPr>
        <w:t>玉溪市工业和信息化局</w:t>
      </w:r>
    </w:p>
    <w:p>
      <w:pPr>
        <w:pStyle w:val="2"/>
        <w:ind w:firstLine="720"/>
        <w:rPr>
          <w:rFonts w:ascii="黑体" w:hAnsi="黑体" w:eastAsia="黑体" w:cs="黑体"/>
          <w:sz w:val="36"/>
          <w:szCs w:val="36"/>
        </w:rPr>
      </w:pPr>
      <w:r>
        <w:rPr>
          <w:rFonts w:hint="eastAsia" w:ascii="黑体" w:hAnsi="黑体" w:eastAsia="黑体" w:cs="黑体"/>
          <w:sz w:val="36"/>
          <w:szCs w:val="36"/>
        </w:rPr>
        <w:t>2021年</w:t>
      </w:r>
      <w:r>
        <w:rPr>
          <w:rFonts w:hint="eastAsia" w:ascii="黑体" w:hAnsi="黑体" w:eastAsia="黑体" w:cs="黑体"/>
          <w:sz w:val="36"/>
          <w:szCs w:val="36"/>
          <w:lang w:val="en-US" w:eastAsia="zh-CN"/>
        </w:rPr>
        <w:t>11</w:t>
      </w:r>
      <w:r>
        <w:rPr>
          <w:rFonts w:hint="eastAsia" w:ascii="黑体" w:hAnsi="黑体" w:eastAsia="黑体" w:cs="黑体"/>
          <w:sz w:val="36"/>
          <w:szCs w:val="36"/>
        </w:rPr>
        <w:t>月</w:t>
      </w:r>
    </w:p>
    <w:p>
      <w:pPr>
        <w:ind w:firstLine="720"/>
        <w:jc w:val="center"/>
        <w:rPr>
          <w:rFonts w:eastAsia="方正仿宋_GBK"/>
          <w:sz w:val="36"/>
          <w:szCs w:val="36"/>
        </w:rPr>
      </w:pPr>
    </w:p>
    <w:p>
      <w:pPr>
        <w:ind w:firstLine="0" w:firstLineChars="0"/>
        <w:jc w:val="center"/>
        <w:rPr>
          <w:b/>
          <w:bCs/>
          <w:szCs w:val="32"/>
        </w:rPr>
      </w:pPr>
      <w:r>
        <w:rPr>
          <w:rFonts w:eastAsia="黑体"/>
          <w:sz w:val="44"/>
          <w:szCs w:val="44"/>
        </w:rPr>
        <w:t>目  录</w:t>
      </w:r>
    </w:p>
    <w:p>
      <w:pPr>
        <w:pStyle w:val="16"/>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rFonts w:eastAsia="仿宋"/>
          <w:b/>
          <w:bCs/>
          <w:szCs w:val="32"/>
        </w:rPr>
        <w:fldChar w:fldCharType="begin"/>
      </w:r>
      <w:r>
        <w:rPr>
          <w:rFonts w:eastAsia="仿宋"/>
          <w:b/>
          <w:bCs/>
          <w:szCs w:val="32"/>
        </w:rPr>
        <w:instrText xml:space="preserve">TOC \o "1-3" \h \u </w:instrText>
      </w:r>
      <w:r>
        <w:rPr>
          <w:rFonts w:eastAsia="仿宋"/>
          <w:b/>
          <w:bCs/>
          <w:szCs w:val="32"/>
        </w:rPr>
        <w:fldChar w:fldCharType="separate"/>
      </w:r>
      <w:r>
        <w:rPr>
          <w:rFonts w:eastAsia="仿宋"/>
          <w:bCs/>
          <w:szCs w:val="32"/>
        </w:rPr>
        <w:fldChar w:fldCharType="begin"/>
      </w:r>
      <w:r>
        <w:rPr>
          <w:rFonts w:eastAsia="仿宋"/>
          <w:bCs/>
          <w:szCs w:val="32"/>
        </w:rPr>
        <w:instrText xml:space="preserve"> HYPERLINK \l _Toc26434 </w:instrText>
      </w:r>
      <w:r>
        <w:rPr>
          <w:rFonts w:eastAsia="仿宋"/>
          <w:bCs/>
          <w:szCs w:val="32"/>
        </w:rPr>
        <w:fldChar w:fldCharType="separate"/>
      </w:r>
      <w:r>
        <w:rPr>
          <w:szCs w:val="22"/>
        </w:rPr>
        <w:t>前</w:t>
      </w:r>
      <w:r>
        <w:rPr>
          <w:rFonts w:hint="eastAsia"/>
          <w:szCs w:val="22"/>
        </w:rPr>
        <w:t xml:space="preserve"> </w:t>
      </w:r>
      <w:r>
        <w:rPr>
          <w:szCs w:val="22"/>
        </w:rPr>
        <w:t>言</w:t>
      </w:r>
      <w:r>
        <w:tab/>
      </w:r>
      <w:r>
        <w:fldChar w:fldCharType="begin"/>
      </w:r>
      <w:r>
        <w:instrText xml:space="preserve"> PAGEREF _Toc26434 \h </w:instrText>
      </w:r>
      <w:r>
        <w:fldChar w:fldCharType="separate"/>
      </w:r>
      <w:r>
        <w:t>1</w:t>
      </w:r>
      <w:r>
        <w:fldChar w:fldCharType="end"/>
      </w:r>
      <w:r>
        <w:rPr>
          <w:rFonts w:eastAsia="仿宋"/>
          <w:bCs/>
          <w:szCs w:val="32"/>
        </w:rPr>
        <w:fldChar w:fldCharType="end"/>
      </w:r>
    </w:p>
    <w:p>
      <w:pPr>
        <w:pStyle w:val="16"/>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_Toc29059 </w:instrText>
      </w:r>
      <w:r>
        <w:rPr>
          <w:bCs/>
          <w:szCs w:val="32"/>
        </w:rPr>
        <w:fldChar w:fldCharType="separate"/>
      </w:r>
      <w:r>
        <w:t>一、“十三五”发展回顾</w:t>
      </w:r>
      <w:r>
        <w:tab/>
      </w:r>
      <w:r>
        <w:fldChar w:fldCharType="begin"/>
      </w:r>
      <w:r>
        <w:instrText xml:space="preserve"> PAGEREF _Toc29059 \h </w:instrText>
      </w:r>
      <w:r>
        <w:fldChar w:fldCharType="separate"/>
      </w:r>
      <w:r>
        <w:t>2</w:t>
      </w:r>
      <w:r>
        <w:fldChar w:fldCharType="end"/>
      </w:r>
      <w:r>
        <w:rPr>
          <w:bCs/>
          <w:szCs w:val="32"/>
        </w:rPr>
        <w:fldChar w:fldCharType="end"/>
      </w:r>
    </w:p>
    <w:p>
      <w:pPr>
        <w:pStyle w:val="17"/>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_Toc9744 </w:instrText>
      </w:r>
      <w:r>
        <w:rPr>
          <w:bCs/>
          <w:szCs w:val="32"/>
        </w:rPr>
        <w:fldChar w:fldCharType="separate"/>
      </w:r>
      <w:r>
        <w:rPr>
          <w:rFonts w:hint="eastAsia" w:ascii="Times New Roman" w:hAnsi="Times New Roman"/>
          <w:szCs w:val="22"/>
        </w:rPr>
        <w:t>（一）“十三五”期间产业发展情况</w:t>
      </w:r>
      <w:r>
        <w:tab/>
      </w:r>
      <w:r>
        <w:fldChar w:fldCharType="begin"/>
      </w:r>
      <w:r>
        <w:instrText xml:space="preserve"> PAGEREF _Toc9744 \h </w:instrText>
      </w:r>
      <w:r>
        <w:fldChar w:fldCharType="separate"/>
      </w:r>
      <w:r>
        <w:t>2</w:t>
      </w:r>
      <w:r>
        <w:fldChar w:fldCharType="end"/>
      </w:r>
      <w:r>
        <w:rPr>
          <w:bCs/>
          <w:szCs w:val="32"/>
        </w:rPr>
        <w:fldChar w:fldCharType="end"/>
      </w:r>
    </w:p>
    <w:p>
      <w:pPr>
        <w:pStyle w:val="17"/>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_Toc29422 </w:instrText>
      </w:r>
      <w:r>
        <w:rPr>
          <w:bCs/>
          <w:szCs w:val="32"/>
        </w:rPr>
        <w:fldChar w:fldCharType="separate"/>
      </w:r>
      <w:r>
        <w:rPr>
          <w:rFonts w:ascii="Times New Roman" w:hAnsi="Times New Roman"/>
        </w:rPr>
        <w:t>（</w:t>
      </w:r>
      <w:r>
        <w:rPr>
          <w:rFonts w:hint="eastAsia" w:ascii="Times New Roman" w:hAnsi="Times New Roman"/>
        </w:rPr>
        <w:t>二</w:t>
      </w:r>
      <w:r>
        <w:rPr>
          <w:rFonts w:ascii="Times New Roman" w:hAnsi="Times New Roman"/>
        </w:rPr>
        <w:t>）</w:t>
      </w:r>
      <w:r>
        <w:rPr>
          <w:rFonts w:hint="eastAsia" w:ascii="Times New Roman" w:hAnsi="Times New Roman"/>
          <w:szCs w:val="22"/>
        </w:rPr>
        <w:t>“十三五”期间</w:t>
      </w:r>
      <w:r>
        <w:rPr>
          <w:rFonts w:hint="eastAsia" w:ascii="Times New Roman" w:hAnsi="Times New Roman"/>
          <w:szCs w:val="22"/>
          <w:lang w:eastAsia="zh-CN"/>
        </w:rPr>
        <w:t>产业发展</w:t>
      </w:r>
      <w:r>
        <w:rPr>
          <w:rFonts w:hint="eastAsia" w:ascii="Times New Roman" w:hAnsi="Times New Roman"/>
        </w:rPr>
        <w:t>主要成就</w:t>
      </w:r>
      <w:r>
        <w:tab/>
      </w:r>
      <w:r>
        <w:fldChar w:fldCharType="begin"/>
      </w:r>
      <w:r>
        <w:instrText xml:space="preserve"> PAGEREF _Toc29422 \h </w:instrText>
      </w:r>
      <w:r>
        <w:fldChar w:fldCharType="separate"/>
      </w:r>
      <w:r>
        <w:t>2</w:t>
      </w:r>
      <w:r>
        <w:fldChar w:fldCharType="end"/>
      </w:r>
      <w:r>
        <w:rPr>
          <w:bCs/>
          <w:szCs w:val="32"/>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_Toc24438 </w:instrText>
      </w:r>
      <w:r>
        <w:rPr>
          <w:bCs/>
          <w:szCs w:val="32"/>
        </w:rPr>
        <w:fldChar w:fldCharType="separate"/>
      </w:r>
      <w:r>
        <w:t>1. 产业</w:t>
      </w:r>
      <w:r>
        <w:rPr>
          <w:rFonts w:hint="eastAsia"/>
        </w:rPr>
        <w:t>规模平稳增长</w:t>
      </w:r>
      <w:r>
        <w:tab/>
      </w:r>
      <w:r>
        <w:fldChar w:fldCharType="begin"/>
      </w:r>
      <w:r>
        <w:instrText xml:space="preserve"> PAGEREF _Toc24438 \h </w:instrText>
      </w:r>
      <w:r>
        <w:fldChar w:fldCharType="separate"/>
      </w:r>
      <w:r>
        <w:t>2</w:t>
      </w:r>
      <w:r>
        <w:fldChar w:fldCharType="end"/>
      </w:r>
      <w:r>
        <w:rPr>
          <w:bCs/>
          <w:szCs w:val="32"/>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_Toc10344 </w:instrText>
      </w:r>
      <w:r>
        <w:rPr>
          <w:bCs/>
          <w:szCs w:val="32"/>
        </w:rPr>
        <w:fldChar w:fldCharType="separate"/>
      </w:r>
      <w:r>
        <w:t xml:space="preserve">2. </w:t>
      </w:r>
      <w:r>
        <w:rPr>
          <w:rFonts w:hint="eastAsia"/>
        </w:rPr>
        <w:t>区域特色更加突出</w:t>
      </w:r>
      <w:r>
        <w:tab/>
      </w:r>
      <w:r>
        <w:fldChar w:fldCharType="begin"/>
      </w:r>
      <w:r>
        <w:instrText xml:space="preserve"> PAGEREF _Toc10344 \h </w:instrText>
      </w:r>
      <w:r>
        <w:fldChar w:fldCharType="separate"/>
      </w:r>
      <w:r>
        <w:t>2</w:t>
      </w:r>
      <w:r>
        <w:fldChar w:fldCharType="end"/>
      </w:r>
      <w:r>
        <w:rPr>
          <w:bCs/>
          <w:szCs w:val="32"/>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_Toc18973 </w:instrText>
      </w:r>
      <w:r>
        <w:rPr>
          <w:bCs/>
          <w:szCs w:val="32"/>
        </w:rPr>
        <w:fldChar w:fldCharType="separate"/>
      </w:r>
      <w:r>
        <w:t>3. 品牌</w:t>
      </w:r>
      <w:r>
        <w:rPr>
          <w:rFonts w:hint="eastAsia"/>
        </w:rPr>
        <w:t>创建效果明显</w:t>
      </w:r>
      <w:r>
        <w:tab/>
      </w:r>
      <w:r>
        <w:fldChar w:fldCharType="begin"/>
      </w:r>
      <w:r>
        <w:instrText xml:space="preserve"> PAGEREF _Toc18973 \h </w:instrText>
      </w:r>
      <w:r>
        <w:fldChar w:fldCharType="separate"/>
      </w:r>
      <w:r>
        <w:t>3</w:t>
      </w:r>
      <w:r>
        <w:fldChar w:fldCharType="end"/>
      </w:r>
      <w:r>
        <w:rPr>
          <w:bCs/>
          <w:szCs w:val="32"/>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_Toc14029 </w:instrText>
      </w:r>
      <w:r>
        <w:rPr>
          <w:bCs/>
          <w:szCs w:val="32"/>
        </w:rPr>
        <w:fldChar w:fldCharType="separate"/>
      </w:r>
      <w:r>
        <w:t>4. 企业</w:t>
      </w:r>
      <w:r>
        <w:rPr>
          <w:rFonts w:hint="eastAsia"/>
        </w:rPr>
        <w:t>培育成效显著</w:t>
      </w:r>
      <w:r>
        <w:tab/>
      </w:r>
      <w:r>
        <w:fldChar w:fldCharType="begin"/>
      </w:r>
      <w:r>
        <w:instrText xml:space="preserve"> PAGEREF _Toc14029 \h </w:instrText>
      </w:r>
      <w:r>
        <w:fldChar w:fldCharType="separate"/>
      </w:r>
      <w:r>
        <w:t>3</w:t>
      </w:r>
      <w:r>
        <w:fldChar w:fldCharType="end"/>
      </w:r>
      <w:r>
        <w:rPr>
          <w:bCs/>
          <w:szCs w:val="32"/>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_Toc25857 </w:instrText>
      </w:r>
      <w:r>
        <w:rPr>
          <w:bCs/>
          <w:szCs w:val="32"/>
        </w:rPr>
        <w:fldChar w:fldCharType="separate"/>
      </w:r>
      <w:r>
        <w:rPr>
          <w:rFonts w:hint="eastAsia"/>
        </w:rPr>
        <w:t>5. 创新能力优化提升</w:t>
      </w:r>
      <w:r>
        <w:tab/>
      </w:r>
      <w:r>
        <w:fldChar w:fldCharType="begin"/>
      </w:r>
      <w:r>
        <w:instrText xml:space="preserve"> PAGEREF _Toc25857 \h </w:instrText>
      </w:r>
      <w:r>
        <w:fldChar w:fldCharType="separate"/>
      </w:r>
      <w:r>
        <w:t>4</w:t>
      </w:r>
      <w:r>
        <w:fldChar w:fldCharType="end"/>
      </w:r>
      <w:r>
        <w:rPr>
          <w:bCs/>
          <w:szCs w:val="32"/>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_Toc137 </w:instrText>
      </w:r>
      <w:r>
        <w:rPr>
          <w:bCs/>
          <w:szCs w:val="32"/>
        </w:rPr>
        <w:fldChar w:fldCharType="separate"/>
      </w:r>
      <w:r>
        <w:rPr>
          <w:rFonts w:hint="eastAsia"/>
        </w:rPr>
        <w:t>6</w:t>
      </w:r>
      <w:r>
        <w:t xml:space="preserve">. </w:t>
      </w:r>
      <w:r>
        <w:rPr>
          <w:rFonts w:hint="eastAsia"/>
        </w:rPr>
        <w:t>出口创汇大幅增加</w:t>
      </w:r>
      <w:r>
        <w:tab/>
      </w:r>
      <w:r>
        <w:fldChar w:fldCharType="begin"/>
      </w:r>
      <w:r>
        <w:instrText xml:space="preserve"> PAGEREF _Toc137 \h </w:instrText>
      </w:r>
      <w:r>
        <w:fldChar w:fldCharType="separate"/>
      </w:r>
      <w:r>
        <w:t>4</w:t>
      </w:r>
      <w:r>
        <w:fldChar w:fldCharType="end"/>
      </w:r>
      <w:r>
        <w:rPr>
          <w:bCs/>
          <w:szCs w:val="32"/>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_Toc29367 </w:instrText>
      </w:r>
      <w:r>
        <w:rPr>
          <w:bCs/>
          <w:szCs w:val="32"/>
        </w:rPr>
        <w:fldChar w:fldCharType="separate"/>
      </w:r>
      <w:r>
        <w:rPr>
          <w:rFonts w:hint="eastAsia"/>
        </w:rPr>
        <w:t>7</w:t>
      </w:r>
      <w:r>
        <w:t xml:space="preserve">. </w:t>
      </w:r>
      <w:r>
        <w:rPr>
          <w:rFonts w:hint="eastAsia"/>
        </w:rPr>
        <w:t>产业带动效应突出</w:t>
      </w:r>
      <w:r>
        <w:tab/>
      </w:r>
      <w:r>
        <w:fldChar w:fldCharType="begin"/>
      </w:r>
      <w:r>
        <w:instrText xml:space="preserve"> PAGEREF _Toc29367 \h </w:instrText>
      </w:r>
      <w:r>
        <w:fldChar w:fldCharType="separate"/>
      </w:r>
      <w:r>
        <w:t>5</w:t>
      </w:r>
      <w:r>
        <w:fldChar w:fldCharType="end"/>
      </w:r>
      <w:r>
        <w:rPr>
          <w:bCs/>
          <w:szCs w:val="32"/>
        </w:rPr>
        <w:fldChar w:fldCharType="end"/>
      </w:r>
    </w:p>
    <w:p>
      <w:pPr>
        <w:pStyle w:val="17"/>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_Toc26705 </w:instrText>
      </w:r>
      <w:r>
        <w:rPr>
          <w:bCs/>
          <w:szCs w:val="32"/>
        </w:rPr>
        <w:fldChar w:fldCharType="separate"/>
      </w:r>
      <w:r>
        <w:rPr>
          <w:rFonts w:hint="eastAsia"/>
        </w:rPr>
        <w:t>（三）“十三五”期间产业发展</w:t>
      </w:r>
      <w:r>
        <w:t>存在问题</w:t>
      </w:r>
      <w:r>
        <w:tab/>
      </w:r>
      <w:r>
        <w:fldChar w:fldCharType="begin"/>
      </w:r>
      <w:r>
        <w:instrText xml:space="preserve"> PAGEREF _Toc26705 \h </w:instrText>
      </w:r>
      <w:r>
        <w:fldChar w:fldCharType="separate"/>
      </w:r>
      <w:r>
        <w:t>5</w:t>
      </w:r>
      <w:r>
        <w:fldChar w:fldCharType="end"/>
      </w:r>
      <w:r>
        <w:rPr>
          <w:bCs/>
          <w:szCs w:val="32"/>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_Toc5061 </w:instrText>
      </w:r>
      <w:r>
        <w:rPr>
          <w:bCs/>
          <w:szCs w:val="32"/>
        </w:rPr>
        <w:fldChar w:fldCharType="separate"/>
      </w:r>
      <w:r>
        <w:rPr>
          <w:rFonts w:hint="eastAsia"/>
        </w:rPr>
        <w:t>1. 产业规模总量不大</w:t>
      </w:r>
      <w:r>
        <w:tab/>
      </w:r>
      <w:r>
        <w:fldChar w:fldCharType="begin"/>
      </w:r>
      <w:r>
        <w:instrText xml:space="preserve"> PAGEREF _Toc5061 \h </w:instrText>
      </w:r>
      <w:r>
        <w:fldChar w:fldCharType="separate"/>
      </w:r>
      <w:r>
        <w:t>5</w:t>
      </w:r>
      <w:r>
        <w:fldChar w:fldCharType="end"/>
      </w:r>
      <w:r>
        <w:rPr>
          <w:bCs/>
          <w:szCs w:val="32"/>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_Toc23185 </w:instrText>
      </w:r>
      <w:r>
        <w:rPr>
          <w:bCs/>
          <w:szCs w:val="32"/>
        </w:rPr>
        <w:fldChar w:fldCharType="separate"/>
      </w:r>
      <w:r>
        <w:rPr>
          <w:rFonts w:hint="eastAsia"/>
          <w:szCs w:val="22"/>
        </w:rPr>
        <w:t>2. 龙头企业占比较小</w:t>
      </w:r>
      <w:r>
        <w:tab/>
      </w:r>
      <w:r>
        <w:fldChar w:fldCharType="begin"/>
      </w:r>
      <w:r>
        <w:instrText xml:space="preserve"> PAGEREF _Toc23185 \h </w:instrText>
      </w:r>
      <w:r>
        <w:fldChar w:fldCharType="separate"/>
      </w:r>
      <w:r>
        <w:t>6</w:t>
      </w:r>
      <w:r>
        <w:fldChar w:fldCharType="end"/>
      </w:r>
      <w:r>
        <w:rPr>
          <w:bCs/>
          <w:szCs w:val="32"/>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_Toc8420 </w:instrText>
      </w:r>
      <w:r>
        <w:rPr>
          <w:bCs/>
          <w:szCs w:val="32"/>
        </w:rPr>
        <w:fldChar w:fldCharType="separate"/>
      </w:r>
      <w:r>
        <w:rPr>
          <w:rFonts w:hint="eastAsia"/>
        </w:rPr>
        <w:t>3. 高附加值产品较少</w:t>
      </w:r>
      <w:r>
        <w:tab/>
      </w:r>
      <w:r>
        <w:fldChar w:fldCharType="begin"/>
      </w:r>
      <w:r>
        <w:instrText xml:space="preserve"> PAGEREF _Toc8420 \h </w:instrText>
      </w:r>
      <w:r>
        <w:fldChar w:fldCharType="separate"/>
      </w:r>
      <w:r>
        <w:t>6</w:t>
      </w:r>
      <w:r>
        <w:fldChar w:fldCharType="end"/>
      </w:r>
      <w:r>
        <w:rPr>
          <w:bCs/>
          <w:szCs w:val="32"/>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_Toc23347 </w:instrText>
      </w:r>
      <w:r>
        <w:rPr>
          <w:bCs/>
          <w:szCs w:val="32"/>
        </w:rPr>
        <w:fldChar w:fldCharType="separate"/>
      </w:r>
      <w:r>
        <w:rPr>
          <w:rFonts w:hint="eastAsia"/>
        </w:rPr>
        <w:t>4. 企业创新能力不足</w:t>
      </w:r>
      <w:r>
        <w:tab/>
      </w:r>
      <w:r>
        <w:fldChar w:fldCharType="begin"/>
      </w:r>
      <w:r>
        <w:instrText xml:space="preserve"> PAGEREF _Toc23347 \h </w:instrText>
      </w:r>
      <w:r>
        <w:fldChar w:fldCharType="separate"/>
      </w:r>
      <w:r>
        <w:t>7</w:t>
      </w:r>
      <w:r>
        <w:fldChar w:fldCharType="end"/>
      </w:r>
      <w:r>
        <w:rPr>
          <w:bCs/>
          <w:szCs w:val="32"/>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_Toc11299 </w:instrText>
      </w:r>
      <w:r>
        <w:rPr>
          <w:bCs/>
          <w:szCs w:val="32"/>
        </w:rPr>
        <w:fldChar w:fldCharType="separate"/>
      </w:r>
      <w:r>
        <w:rPr>
          <w:rFonts w:hint="eastAsia"/>
          <w:szCs w:val="22"/>
        </w:rPr>
        <w:t>5. 优质原料基地建设滞后</w:t>
      </w:r>
      <w:r>
        <w:tab/>
      </w:r>
      <w:r>
        <w:fldChar w:fldCharType="begin"/>
      </w:r>
      <w:r>
        <w:instrText xml:space="preserve"> PAGEREF _Toc11299 \h </w:instrText>
      </w:r>
      <w:r>
        <w:fldChar w:fldCharType="separate"/>
      </w:r>
      <w:r>
        <w:t>7</w:t>
      </w:r>
      <w:r>
        <w:fldChar w:fldCharType="end"/>
      </w:r>
      <w:r>
        <w:rPr>
          <w:bCs/>
          <w:szCs w:val="32"/>
        </w:rPr>
        <w:fldChar w:fldCharType="end"/>
      </w:r>
    </w:p>
    <w:p>
      <w:pPr>
        <w:pStyle w:val="16"/>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_Toc681 </w:instrText>
      </w:r>
      <w:r>
        <w:rPr>
          <w:bCs/>
          <w:szCs w:val="32"/>
        </w:rPr>
        <w:fldChar w:fldCharType="separate"/>
      </w:r>
      <w:r>
        <w:rPr>
          <w:rFonts w:hint="eastAsia"/>
        </w:rPr>
        <w:t>二、</w:t>
      </w:r>
      <w:r>
        <w:t>“十四五”</w:t>
      </w:r>
      <w:r>
        <w:rPr>
          <w:rFonts w:hint="eastAsia"/>
        </w:rPr>
        <w:t>绿色食品制造业</w:t>
      </w:r>
      <w:r>
        <w:t>发展</w:t>
      </w:r>
      <w:r>
        <w:rPr>
          <w:rFonts w:hint="eastAsia"/>
        </w:rPr>
        <w:t>的机遇和挑战</w:t>
      </w:r>
      <w:r>
        <w:tab/>
      </w:r>
      <w:r>
        <w:fldChar w:fldCharType="begin"/>
      </w:r>
      <w:r>
        <w:instrText xml:space="preserve"> PAGEREF _Toc681 \h </w:instrText>
      </w:r>
      <w:r>
        <w:fldChar w:fldCharType="separate"/>
      </w:r>
      <w:r>
        <w:t>8</w:t>
      </w:r>
      <w:r>
        <w:fldChar w:fldCharType="end"/>
      </w:r>
      <w:r>
        <w:rPr>
          <w:bCs/>
          <w:szCs w:val="32"/>
        </w:rPr>
        <w:fldChar w:fldCharType="end"/>
      </w:r>
    </w:p>
    <w:p>
      <w:pPr>
        <w:pStyle w:val="17"/>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_Toc2112 </w:instrText>
      </w:r>
      <w:r>
        <w:rPr>
          <w:bCs/>
          <w:szCs w:val="32"/>
        </w:rPr>
        <w:fldChar w:fldCharType="separate"/>
      </w:r>
      <w:r>
        <w:rPr>
          <w:rFonts w:hint="eastAsia"/>
        </w:rPr>
        <w:t>（一）面临的机遇</w:t>
      </w:r>
      <w:r>
        <w:tab/>
      </w:r>
      <w:r>
        <w:fldChar w:fldCharType="begin"/>
      </w:r>
      <w:r>
        <w:instrText xml:space="preserve"> PAGEREF _Toc2112 \h </w:instrText>
      </w:r>
      <w:r>
        <w:fldChar w:fldCharType="separate"/>
      </w:r>
      <w:r>
        <w:t>8</w:t>
      </w:r>
      <w:r>
        <w:fldChar w:fldCharType="end"/>
      </w:r>
      <w:r>
        <w:rPr>
          <w:bCs/>
          <w:szCs w:val="32"/>
        </w:rPr>
        <w:fldChar w:fldCharType="end"/>
      </w:r>
    </w:p>
    <w:p>
      <w:pPr>
        <w:pStyle w:val="17"/>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_Toc27759 </w:instrText>
      </w:r>
      <w:r>
        <w:rPr>
          <w:bCs/>
          <w:szCs w:val="32"/>
        </w:rPr>
        <w:fldChar w:fldCharType="separate"/>
      </w:r>
      <w:r>
        <w:rPr>
          <w:rFonts w:hint="eastAsia"/>
        </w:rPr>
        <w:t>（二）</w:t>
      </w:r>
      <w:r>
        <w:t>面临的挑战</w:t>
      </w:r>
      <w:r>
        <w:tab/>
      </w:r>
      <w:r>
        <w:fldChar w:fldCharType="begin"/>
      </w:r>
      <w:r>
        <w:instrText xml:space="preserve"> PAGEREF _Toc27759 \h </w:instrText>
      </w:r>
      <w:r>
        <w:fldChar w:fldCharType="separate"/>
      </w:r>
      <w:r>
        <w:t>9</w:t>
      </w:r>
      <w:r>
        <w:fldChar w:fldCharType="end"/>
      </w:r>
      <w:r>
        <w:rPr>
          <w:bCs/>
          <w:szCs w:val="32"/>
        </w:rPr>
        <w:fldChar w:fldCharType="end"/>
      </w:r>
    </w:p>
    <w:p>
      <w:pPr>
        <w:pStyle w:val="16"/>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_Toc28599 </w:instrText>
      </w:r>
      <w:r>
        <w:rPr>
          <w:bCs/>
          <w:szCs w:val="32"/>
        </w:rPr>
        <w:fldChar w:fldCharType="separate"/>
      </w:r>
      <w:r>
        <w:rPr>
          <w:rFonts w:hint="eastAsia"/>
        </w:rPr>
        <w:t>三、</w:t>
      </w:r>
      <w:r>
        <w:t>总体思路</w:t>
      </w:r>
      <w:r>
        <w:tab/>
      </w:r>
      <w:r>
        <w:fldChar w:fldCharType="begin"/>
      </w:r>
      <w:r>
        <w:instrText xml:space="preserve"> PAGEREF _Toc28599 \h </w:instrText>
      </w:r>
      <w:r>
        <w:fldChar w:fldCharType="separate"/>
      </w:r>
      <w:r>
        <w:t>11</w:t>
      </w:r>
      <w:r>
        <w:fldChar w:fldCharType="end"/>
      </w:r>
      <w:r>
        <w:rPr>
          <w:bCs/>
          <w:szCs w:val="32"/>
        </w:rPr>
        <w:fldChar w:fldCharType="end"/>
      </w:r>
    </w:p>
    <w:p>
      <w:pPr>
        <w:pStyle w:val="17"/>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_Toc27221 </w:instrText>
      </w:r>
      <w:r>
        <w:rPr>
          <w:bCs/>
          <w:szCs w:val="32"/>
        </w:rPr>
        <w:fldChar w:fldCharType="separate"/>
      </w:r>
      <w:r>
        <w:rPr>
          <w:rFonts w:hint="eastAsia"/>
        </w:rPr>
        <w:t>（一）</w:t>
      </w:r>
      <w:r>
        <w:t>指导思想</w:t>
      </w:r>
      <w:r>
        <w:tab/>
      </w:r>
      <w:r>
        <w:fldChar w:fldCharType="begin"/>
      </w:r>
      <w:r>
        <w:instrText xml:space="preserve"> PAGEREF _Toc27221 \h </w:instrText>
      </w:r>
      <w:r>
        <w:fldChar w:fldCharType="separate"/>
      </w:r>
      <w:r>
        <w:t>11</w:t>
      </w:r>
      <w:r>
        <w:fldChar w:fldCharType="end"/>
      </w:r>
      <w:r>
        <w:rPr>
          <w:bCs/>
          <w:szCs w:val="32"/>
        </w:rPr>
        <w:fldChar w:fldCharType="end"/>
      </w:r>
    </w:p>
    <w:p>
      <w:pPr>
        <w:pStyle w:val="17"/>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_Toc29008 </w:instrText>
      </w:r>
      <w:r>
        <w:rPr>
          <w:bCs/>
          <w:szCs w:val="32"/>
        </w:rPr>
        <w:fldChar w:fldCharType="separate"/>
      </w:r>
      <w:r>
        <w:rPr>
          <w:rFonts w:hint="eastAsia"/>
        </w:rPr>
        <w:t>（二）</w:t>
      </w:r>
      <w:r>
        <w:t>基本原则</w:t>
      </w:r>
      <w:r>
        <w:tab/>
      </w:r>
      <w:r>
        <w:fldChar w:fldCharType="begin"/>
      </w:r>
      <w:r>
        <w:instrText xml:space="preserve"> PAGEREF _Toc29008 \h </w:instrText>
      </w:r>
      <w:r>
        <w:fldChar w:fldCharType="separate"/>
      </w:r>
      <w:r>
        <w:t>12</w:t>
      </w:r>
      <w:r>
        <w:fldChar w:fldCharType="end"/>
      </w:r>
      <w:r>
        <w:rPr>
          <w:bCs/>
          <w:szCs w:val="32"/>
        </w:rPr>
        <w:fldChar w:fldCharType="end"/>
      </w:r>
    </w:p>
    <w:p>
      <w:pPr>
        <w:pStyle w:val="17"/>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_Toc11083 </w:instrText>
      </w:r>
      <w:r>
        <w:rPr>
          <w:bCs/>
          <w:szCs w:val="32"/>
        </w:rPr>
        <w:fldChar w:fldCharType="separate"/>
      </w:r>
      <w:r>
        <w:rPr>
          <w:rFonts w:hint="eastAsia"/>
        </w:rPr>
        <w:t>（三）</w:t>
      </w:r>
      <w:r>
        <w:t>发展目标</w:t>
      </w:r>
      <w:r>
        <w:tab/>
      </w:r>
      <w:r>
        <w:fldChar w:fldCharType="begin"/>
      </w:r>
      <w:r>
        <w:instrText xml:space="preserve"> PAGEREF _Toc11083 \h </w:instrText>
      </w:r>
      <w:r>
        <w:fldChar w:fldCharType="separate"/>
      </w:r>
      <w:r>
        <w:t>12</w:t>
      </w:r>
      <w:r>
        <w:fldChar w:fldCharType="end"/>
      </w:r>
      <w:r>
        <w:rPr>
          <w:bCs/>
          <w:szCs w:val="32"/>
        </w:rPr>
        <w:fldChar w:fldCharType="end"/>
      </w:r>
    </w:p>
    <w:p>
      <w:pPr>
        <w:pStyle w:val="17"/>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_Toc13890 </w:instrText>
      </w:r>
      <w:r>
        <w:rPr>
          <w:bCs/>
          <w:szCs w:val="32"/>
        </w:rPr>
        <w:fldChar w:fldCharType="separate"/>
      </w:r>
      <w:r>
        <w:rPr>
          <w:rFonts w:hint="eastAsia"/>
          <w:szCs w:val="22"/>
        </w:rPr>
        <w:t>（四）远景目标</w:t>
      </w:r>
      <w:r>
        <w:tab/>
      </w:r>
      <w:r>
        <w:fldChar w:fldCharType="begin"/>
      </w:r>
      <w:r>
        <w:instrText xml:space="preserve"> PAGEREF _Toc13890 \h </w:instrText>
      </w:r>
      <w:r>
        <w:fldChar w:fldCharType="separate"/>
      </w:r>
      <w:r>
        <w:t>13</w:t>
      </w:r>
      <w:r>
        <w:fldChar w:fldCharType="end"/>
      </w:r>
      <w:r>
        <w:rPr>
          <w:bCs/>
          <w:szCs w:val="32"/>
        </w:rPr>
        <w:fldChar w:fldCharType="end"/>
      </w:r>
    </w:p>
    <w:p>
      <w:pPr>
        <w:pStyle w:val="16"/>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_Toc14744 </w:instrText>
      </w:r>
      <w:r>
        <w:rPr>
          <w:bCs/>
          <w:szCs w:val="32"/>
        </w:rPr>
        <w:fldChar w:fldCharType="separate"/>
      </w:r>
      <w:r>
        <w:rPr>
          <w:rFonts w:hint="eastAsia"/>
        </w:rPr>
        <w:t>四、</w:t>
      </w:r>
      <w:r>
        <w:t>发展重点</w:t>
      </w:r>
      <w:r>
        <w:tab/>
      </w:r>
      <w:r>
        <w:fldChar w:fldCharType="begin"/>
      </w:r>
      <w:r>
        <w:instrText xml:space="preserve"> PAGEREF _Toc14744 \h </w:instrText>
      </w:r>
      <w:r>
        <w:fldChar w:fldCharType="separate"/>
      </w:r>
      <w:r>
        <w:t>13</w:t>
      </w:r>
      <w:r>
        <w:fldChar w:fldCharType="end"/>
      </w:r>
      <w:r>
        <w:rPr>
          <w:bCs/>
          <w:szCs w:val="32"/>
        </w:rPr>
        <w:fldChar w:fldCharType="end"/>
      </w:r>
    </w:p>
    <w:p>
      <w:pPr>
        <w:pStyle w:val="17"/>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_Toc5652 </w:instrText>
      </w:r>
      <w:r>
        <w:rPr>
          <w:bCs/>
          <w:szCs w:val="32"/>
        </w:rPr>
        <w:fldChar w:fldCharType="separate"/>
      </w:r>
      <w:r>
        <w:rPr>
          <w:rFonts w:hint="eastAsia"/>
        </w:rPr>
        <w:t>（一）做强传统优势产业</w:t>
      </w:r>
      <w:r>
        <w:tab/>
      </w:r>
      <w:r>
        <w:fldChar w:fldCharType="begin"/>
      </w:r>
      <w:r>
        <w:instrText xml:space="preserve"> PAGEREF _Toc5652 \h </w:instrText>
      </w:r>
      <w:r>
        <w:fldChar w:fldCharType="separate"/>
      </w:r>
      <w:r>
        <w:t>14</w:t>
      </w:r>
      <w:r>
        <w:fldChar w:fldCharType="end"/>
      </w:r>
      <w:r>
        <w:rPr>
          <w:bCs/>
          <w:szCs w:val="32"/>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_Toc5013 </w:instrText>
      </w:r>
      <w:r>
        <w:rPr>
          <w:bCs/>
          <w:szCs w:val="32"/>
        </w:rPr>
        <w:fldChar w:fldCharType="separate"/>
      </w:r>
      <w:r>
        <w:rPr>
          <w:rFonts w:hint="eastAsia"/>
        </w:rPr>
        <w:t>1. 粮油制品</w:t>
      </w:r>
      <w:r>
        <w:t>加工</w:t>
      </w:r>
      <w:r>
        <w:tab/>
      </w:r>
      <w:r>
        <w:fldChar w:fldCharType="begin"/>
      </w:r>
      <w:r>
        <w:instrText xml:space="preserve"> PAGEREF _Toc5013 \h </w:instrText>
      </w:r>
      <w:r>
        <w:fldChar w:fldCharType="separate"/>
      </w:r>
      <w:r>
        <w:t>14</w:t>
      </w:r>
      <w:r>
        <w:fldChar w:fldCharType="end"/>
      </w:r>
      <w:r>
        <w:rPr>
          <w:bCs/>
          <w:szCs w:val="32"/>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_Toc20199 </w:instrText>
      </w:r>
      <w:r>
        <w:rPr>
          <w:bCs/>
          <w:szCs w:val="32"/>
        </w:rPr>
        <w:fldChar w:fldCharType="separate"/>
      </w:r>
      <w:r>
        <w:rPr>
          <w:rFonts w:hint="eastAsia"/>
        </w:rPr>
        <w:t>2. 果蔬加工</w:t>
      </w:r>
      <w:r>
        <w:tab/>
      </w:r>
      <w:r>
        <w:fldChar w:fldCharType="begin"/>
      </w:r>
      <w:r>
        <w:instrText xml:space="preserve"> PAGEREF _Toc20199 \h </w:instrText>
      </w:r>
      <w:r>
        <w:fldChar w:fldCharType="separate"/>
      </w:r>
      <w:r>
        <w:t>15</w:t>
      </w:r>
      <w:r>
        <w:fldChar w:fldCharType="end"/>
      </w:r>
      <w:r>
        <w:rPr>
          <w:bCs/>
          <w:szCs w:val="32"/>
        </w:rPr>
        <w:fldChar w:fldCharType="end"/>
      </w:r>
    </w:p>
    <w:p>
      <w:pPr>
        <w:pStyle w:val="17"/>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_Toc31583 </w:instrText>
      </w:r>
      <w:r>
        <w:rPr>
          <w:bCs/>
          <w:szCs w:val="32"/>
        </w:rPr>
        <w:fldChar w:fldCharType="separate"/>
      </w:r>
      <w:r>
        <w:rPr>
          <w:rFonts w:hint="eastAsia"/>
        </w:rPr>
        <w:t>（二）做精名特优产业</w:t>
      </w:r>
      <w:r>
        <w:tab/>
      </w:r>
      <w:r>
        <w:fldChar w:fldCharType="begin"/>
      </w:r>
      <w:r>
        <w:instrText xml:space="preserve"> PAGEREF _Toc31583 \h </w:instrText>
      </w:r>
      <w:r>
        <w:fldChar w:fldCharType="separate"/>
      </w:r>
      <w:r>
        <w:t>16</w:t>
      </w:r>
      <w:r>
        <w:fldChar w:fldCharType="end"/>
      </w:r>
      <w:r>
        <w:rPr>
          <w:bCs/>
          <w:szCs w:val="32"/>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_Toc11483 </w:instrText>
      </w:r>
      <w:r>
        <w:rPr>
          <w:bCs/>
          <w:szCs w:val="32"/>
        </w:rPr>
        <w:fldChar w:fldCharType="separate"/>
      </w:r>
      <w:r>
        <w:rPr>
          <w:rFonts w:hint="eastAsia"/>
        </w:rPr>
        <w:t>1. 酒及饮料制造</w:t>
      </w:r>
      <w:r>
        <w:tab/>
      </w:r>
      <w:r>
        <w:fldChar w:fldCharType="begin"/>
      </w:r>
      <w:r>
        <w:instrText xml:space="preserve"> PAGEREF _Toc11483 \h </w:instrText>
      </w:r>
      <w:r>
        <w:fldChar w:fldCharType="separate"/>
      </w:r>
      <w:r>
        <w:t>16</w:t>
      </w:r>
      <w:r>
        <w:fldChar w:fldCharType="end"/>
      </w:r>
      <w:r>
        <w:rPr>
          <w:bCs/>
          <w:szCs w:val="32"/>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_Toc15660 </w:instrText>
      </w:r>
      <w:r>
        <w:rPr>
          <w:bCs/>
          <w:szCs w:val="32"/>
        </w:rPr>
        <w:fldChar w:fldCharType="separate"/>
      </w:r>
      <w:r>
        <w:rPr>
          <w:rFonts w:hint="eastAsia"/>
        </w:rPr>
        <w:t>2. 肉类食品加工</w:t>
      </w:r>
      <w:r>
        <w:tab/>
      </w:r>
      <w:r>
        <w:fldChar w:fldCharType="begin"/>
      </w:r>
      <w:r>
        <w:instrText xml:space="preserve"> PAGEREF _Toc15660 \h </w:instrText>
      </w:r>
      <w:r>
        <w:fldChar w:fldCharType="separate"/>
      </w:r>
      <w:r>
        <w:t>17</w:t>
      </w:r>
      <w:r>
        <w:fldChar w:fldCharType="end"/>
      </w:r>
      <w:r>
        <w:rPr>
          <w:bCs/>
          <w:szCs w:val="32"/>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_Toc411 </w:instrText>
      </w:r>
      <w:r>
        <w:rPr>
          <w:bCs/>
          <w:szCs w:val="32"/>
        </w:rPr>
        <w:fldChar w:fldCharType="separate"/>
      </w:r>
      <w:r>
        <w:rPr>
          <w:rFonts w:hint="eastAsia"/>
        </w:rPr>
        <w:t>3.</w:t>
      </w:r>
      <w:r>
        <w:t xml:space="preserve"> </w:t>
      </w:r>
      <w:r>
        <w:rPr>
          <w:rFonts w:hint="eastAsia"/>
        </w:rPr>
        <w:t>酱菜调味品</w:t>
      </w:r>
      <w:r>
        <w:rPr>
          <w:rFonts w:hint="eastAsia"/>
          <w:lang w:val="en-US" w:eastAsia="zh-CN"/>
        </w:rPr>
        <w:t>及</w:t>
      </w:r>
      <w:r>
        <w:rPr>
          <w:rFonts w:hint="eastAsia"/>
        </w:rPr>
        <w:t>食品添加剂</w:t>
      </w:r>
      <w:r>
        <w:tab/>
      </w:r>
      <w:r>
        <w:fldChar w:fldCharType="begin"/>
      </w:r>
      <w:r>
        <w:instrText xml:space="preserve"> PAGEREF _Toc411 \h </w:instrText>
      </w:r>
      <w:r>
        <w:fldChar w:fldCharType="separate"/>
      </w:r>
      <w:r>
        <w:t>17</w:t>
      </w:r>
      <w:r>
        <w:fldChar w:fldCharType="end"/>
      </w:r>
      <w:r>
        <w:rPr>
          <w:bCs/>
          <w:szCs w:val="32"/>
        </w:rPr>
        <w:fldChar w:fldCharType="end"/>
      </w:r>
    </w:p>
    <w:p>
      <w:pPr>
        <w:pStyle w:val="17"/>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_Toc26909 </w:instrText>
      </w:r>
      <w:r>
        <w:rPr>
          <w:bCs/>
          <w:szCs w:val="32"/>
        </w:rPr>
        <w:fldChar w:fldCharType="separate"/>
      </w:r>
      <w:r>
        <w:rPr>
          <w:rFonts w:hint="eastAsia"/>
        </w:rPr>
        <w:t>（三）做大时尚消费产业</w:t>
      </w:r>
      <w:r>
        <w:tab/>
      </w:r>
      <w:r>
        <w:fldChar w:fldCharType="begin"/>
      </w:r>
      <w:r>
        <w:instrText xml:space="preserve"> PAGEREF _Toc26909 \h </w:instrText>
      </w:r>
      <w:r>
        <w:fldChar w:fldCharType="separate"/>
      </w:r>
      <w:r>
        <w:t>18</w:t>
      </w:r>
      <w:r>
        <w:fldChar w:fldCharType="end"/>
      </w:r>
      <w:r>
        <w:rPr>
          <w:bCs/>
          <w:szCs w:val="32"/>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_Toc5467 </w:instrText>
      </w:r>
      <w:r>
        <w:rPr>
          <w:bCs/>
          <w:szCs w:val="32"/>
        </w:rPr>
        <w:fldChar w:fldCharType="separate"/>
      </w:r>
      <w:r>
        <w:rPr>
          <w:rFonts w:hint="eastAsia"/>
        </w:rPr>
        <w:t>1.</w:t>
      </w:r>
      <w:r>
        <w:rPr>
          <w:rFonts w:ascii="仿宋" w:hAnsi="仿宋" w:cs="Arial"/>
          <w:szCs w:val="32"/>
        </w:rPr>
        <w:t xml:space="preserve"> 烘焙食品与</w:t>
      </w:r>
      <w:r>
        <w:rPr>
          <w:rFonts w:hint="eastAsia" w:ascii="仿宋" w:hAnsi="仿宋" w:cs="Arial"/>
          <w:szCs w:val="32"/>
        </w:rPr>
        <w:t>制糖</w:t>
      </w:r>
      <w:r>
        <w:tab/>
      </w:r>
      <w:r>
        <w:fldChar w:fldCharType="begin"/>
      </w:r>
      <w:r>
        <w:instrText xml:space="preserve"> PAGEREF _Toc5467 \h </w:instrText>
      </w:r>
      <w:r>
        <w:fldChar w:fldCharType="separate"/>
      </w:r>
      <w:r>
        <w:t>18</w:t>
      </w:r>
      <w:r>
        <w:fldChar w:fldCharType="end"/>
      </w:r>
      <w:r>
        <w:rPr>
          <w:bCs/>
          <w:szCs w:val="32"/>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_Toc9410 </w:instrText>
      </w:r>
      <w:r>
        <w:rPr>
          <w:bCs/>
          <w:szCs w:val="32"/>
        </w:rPr>
        <w:fldChar w:fldCharType="separate"/>
      </w:r>
      <w:r>
        <w:rPr>
          <w:rFonts w:hint="eastAsia"/>
        </w:rPr>
        <w:t>2. 营养及保健食品制造</w:t>
      </w:r>
      <w:r>
        <w:tab/>
      </w:r>
      <w:r>
        <w:fldChar w:fldCharType="begin"/>
      </w:r>
      <w:r>
        <w:instrText xml:space="preserve"> PAGEREF _Toc9410 \h </w:instrText>
      </w:r>
      <w:r>
        <w:fldChar w:fldCharType="separate"/>
      </w:r>
      <w:r>
        <w:t>19</w:t>
      </w:r>
      <w:r>
        <w:fldChar w:fldCharType="end"/>
      </w:r>
      <w:r>
        <w:rPr>
          <w:bCs/>
          <w:szCs w:val="32"/>
        </w:rPr>
        <w:fldChar w:fldCharType="end"/>
      </w:r>
    </w:p>
    <w:p>
      <w:pPr>
        <w:pStyle w:val="17"/>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_Toc17623 </w:instrText>
      </w:r>
      <w:r>
        <w:rPr>
          <w:bCs/>
          <w:szCs w:val="32"/>
        </w:rPr>
        <w:fldChar w:fldCharType="separate"/>
      </w:r>
      <w:r>
        <w:rPr>
          <w:rFonts w:hint="eastAsia"/>
        </w:rPr>
        <w:t>（四）</w:t>
      </w:r>
      <w:r>
        <w:t>积极</w:t>
      </w:r>
      <w:r>
        <w:rPr>
          <w:rFonts w:hint="eastAsia"/>
        </w:rPr>
        <w:t>开拓关联产业</w:t>
      </w:r>
      <w:r>
        <w:tab/>
      </w:r>
      <w:r>
        <w:fldChar w:fldCharType="begin"/>
      </w:r>
      <w:r>
        <w:instrText xml:space="preserve"> PAGEREF _Toc17623 \h </w:instrText>
      </w:r>
      <w:r>
        <w:fldChar w:fldCharType="separate"/>
      </w:r>
      <w:r>
        <w:t>19</w:t>
      </w:r>
      <w:r>
        <w:fldChar w:fldCharType="end"/>
      </w:r>
      <w:r>
        <w:rPr>
          <w:bCs/>
          <w:szCs w:val="32"/>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_Toc6578 </w:instrText>
      </w:r>
      <w:r>
        <w:rPr>
          <w:bCs/>
          <w:szCs w:val="32"/>
        </w:rPr>
        <w:fldChar w:fldCharType="separate"/>
      </w:r>
      <w:r>
        <w:rPr>
          <w:rFonts w:hint="eastAsia"/>
        </w:rPr>
        <w:t xml:space="preserve">1. </w:t>
      </w:r>
      <w:r>
        <w:t>原材料基地建设</w:t>
      </w:r>
      <w:r>
        <w:tab/>
      </w:r>
      <w:r>
        <w:fldChar w:fldCharType="begin"/>
      </w:r>
      <w:r>
        <w:instrText xml:space="preserve"> PAGEREF _Toc6578 \h </w:instrText>
      </w:r>
      <w:r>
        <w:fldChar w:fldCharType="separate"/>
      </w:r>
      <w:r>
        <w:t>19</w:t>
      </w:r>
      <w:r>
        <w:fldChar w:fldCharType="end"/>
      </w:r>
      <w:r>
        <w:rPr>
          <w:bCs/>
          <w:szCs w:val="32"/>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_Toc23553 </w:instrText>
      </w:r>
      <w:r>
        <w:rPr>
          <w:bCs/>
          <w:szCs w:val="32"/>
        </w:rPr>
        <w:fldChar w:fldCharType="separate"/>
      </w:r>
      <w:r>
        <w:rPr>
          <w:rFonts w:hint="eastAsia"/>
        </w:rPr>
        <w:t xml:space="preserve">2. </w:t>
      </w:r>
      <w:r>
        <w:t>冷链物流产业</w:t>
      </w:r>
      <w:r>
        <w:tab/>
      </w:r>
      <w:r>
        <w:fldChar w:fldCharType="begin"/>
      </w:r>
      <w:r>
        <w:instrText xml:space="preserve"> PAGEREF _Toc23553 \h </w:instrText>
      </w:r>
      <w:r>
        <w:fldChar w:fldCharType="separate"/>
      </w:r>
      <w:r>
        <w:t>20</w:t>
      </w:r>
      <w:r>
        <w:fldChar w:fldCharType="end"/>
      </w:r>
      <w:r>
        <w:rPr>
          <w:bCs/>
          <w:szCs w:val="32"/>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_Toc29151 </w:instrText>
      </w:r>
      <w:r>
        <w:rPr>
          <w:bCs/>
          <w:szCs w:val="32"/>
        </w:rPr>
        <w:fldChar w:fldCharType="separate"/>
      </w:r>
      <w:r>
        <w:rPr>
          <w:rFonts w:hint="eastAsia"/>
        </w:rPr>
        <w:t xml:space="preserve">3. </w:t>
      </w:r>
      <w:r>
        <w:t>包装印刷产业</w:t>
      </w:r>
      <w:r>
        <w:tab/>
      </w:r>
      <w:r>
        <w:fldChar w:fldCharType="begin"/>
      </w:r>
      <w:r>
        <w:instrText xml:space="preserve"> PAGEREF _Toc29151 \h </w:instrText>
      </w:r>
      <w:r>
        <w:fldChar w:fldCharType="separate"/>
      </w:r>
      <w:r>
        <w:t>20</w:t>
      </w:r>
      <w:r>
        <w:fldChar w:fldCharType="end"/>
      </w:r>
      <w:r>
        <w:rPr>
          <w:bCs/>
          <w:szCs w:val="32"/>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_Toc31631 </w:instrText>
      </w:r>
      <w:r>
        <w:rPr>
          <w:bCs/>
          <w:szCs w:val="32"/>
        </w:rPr>
        <w:fldChar w:fldCharType="separate"/>
      </w:r>
      <w:r>
        <w:rPr>
          <w:rFonts w:hint="eastAsia"/>
        </w:rPr>
        <w:t xml:space="preserve">4. </w:t>
      </w:r>
      <w:r>
        <w:t>工业旅游产业</w:t>
      </w:r>
      <w:r>
        <w:tab/>
      </w:r>
      <w:r>
        <w:fldChar w:fldCharType="begin"/>
      </w:r>
      <w:r>
        <w:instrText xml:space="preserve"> PAGEREF _Toc31631 \h </w:instrText>
      </w:r>
      <w:r>
        <w:fldChar w:fldCharType="separate"/>
      </w:r>
      <w:r>
        <w:t>20</w:t>
      </w:r>
      <w:r>
        <w:fldChar w:fldCharType="end"/>
      </w:r>
      <w:r>
        <w:rPr>
          <w:bCs/>
          <w:szCs w:val="32"/>
        </w:rPr>
        <w:fldChar w:fldCharType="end"/>
      </w:r>
    </w:p>
    <w:p>
      <w:pPr>
        <w:pStyle w:val="16"/>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_Toc6033 </w:instrText>
      </w:r>
      <w:r>
        <w:rPr>
          <w:bCs/>
          <w:szCs w:val="32"/>
        </w:rPr>
        <w:fldChar w:fldCharType="separate"/>
      </w:r>
      <w:r>
        <w:rPr>
          <w:rFonts w:hint="eastAsia"/>
        </w:rPr>
        <w:t>五、主要任务</w:t>
      </w:r>
      <w:r>
        <w:tab/>
      </w:r>
      <w:r>
        <w:fldChar w:fldCharType="begin"/>
      </w:r>
      <w:r>
        <w:instrText xml:space="preserve"> PAGEREF _Toc6033 \h </w:instrText>
      </w:r>
      <w:r>
        <w:fldChar w:fldCharType="separate"/>
      </w:r>
      <w:r>
        <w:t>21</w:t>
      </w:r>
      <w:r>
        <w:fldChar w:fldCharType="end"/>
      </w:r>
      <w:r>
        <w:rPr>
          <w:bCs/>
          <w:szCs w:val="32"/>
        </w:rPr>
        <w:fldChar w:fldCharType="end"/>
      </w:r>
    </w:p>
    <w:p>
      <w:pPr>
        <w:pStyle w:val="17"/>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_Toc1926 </w:instrText>
      </w:r>
      <w:r>
        <w:rPr>
          <w:bCs/>
          <w:szCs w:val="32"/>
        </w:rPr>
        <w:fldChar w:fldCharType="separate"/>
      </w:r>
      <w:r>
        <w:rPr>
          <w:rFonts w:hint="eastAsia"/>
        </w:rPr>
        <w:t>（一）</w:t>
      </w:r>
      <w:r>
        <w:t>加大招商力度，强化项目</w:t>
      </w:r>
      <w:r>
        <w:rPr>
          <w:rFonts w:hint="eastAsia"/>
        </w:rPr>
        <w:t>支撑</w:t>
      </w:r>
      <w:r>
        <w:tab/>
      </w:r>
      <w:r>
        <w:fldChar w:fldCharType="begin"/>
      </w:r>
      <w:r>
        <w:instrText xml:space="preserve"> PAGEREF _Toc1926 \h </w:instrText>
      </w:r>
      <w:r>
        <w:fldChar w:fldCharType="separate"/>
      </w:r>
      <w:r>
        <w:t>21</w:t>
      </w:r>
      <w:r>
        <w:fldChar w:fldCharType="end"/>
      </w:r>
      <w:r>
        <w:rPr>
          <w:bCs/>
          <w:szCs w:val="32"/>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_Toc24105 </w:instrText>
      </w:r>
      <w:r>
        <w:rPr>
          <w:bCs/>
          <w:szCs w:val="32"/>
        </w:rPr>
        <w:fldChar w:fldCharType="separate"/>
      </w:r>
      <w:r>
        <w:rPr>
          <w:rFonts w:hint="eastAsia"/>
        </w:rPr>
        <w:t>1. 强化产业招商</w:t>
      </w:r>
      <w:r>
        <w:tab/>
      </w:r>
      <w:r>
        <w:fldChar w:fldCharType="begin"/>
      </w:r>
      <w:r>
        <w:instrText xml:space="preserve"> PAGEREF _Toc24105 \h </w:instrText>
      </w:r>
      <w:r>
        <w:fldChar w:fldCharType="separate"/>
      </w:r>
      <w:r>
        <w:t>21</w:t>
      </w:r>
      <w:r>
        <w:fldChar w:fldCharType="end"/>
      </w:r>
      <w:r>
        <w:rPr>
          <w:bCs/>
          <w:szCs w:val="32"/>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_Toc20328 </w:instrText>
      </w:r>
      <w:r>
        <w:rPr>
          <w:bCs/>
          <w:szCs w:val="32"/>
        </w:rPr>
        <w:fldChar w:fldCharType="separate"/>
      </w:r>
      <w:r>
        <w:rPr>
          <w:rFonts w:hint="eastAsia"/>
        </w:rPr>
        <w:t>2. 推进项目建设</w:t>
      </w:r>
      <w:r>
        <w:tab/>
      </w:r>
      <w:r>
        <w:fldChar w:fldCharType="begin"/>
      </w:r>
      <w:r>
        <w:instrText xml:space="preserve"> PAGEREF _Toc20328 \h </w:instrText>
      </w:r>
      <w:r>
        <w:fldChar w:fldCharType="separate"/>
      </w:r>
      <w:r>
        <w:t>21</w:t>
      </w:r>
      <w:r>
        <w:fldChar w:fldCharType="end"/>
      </w:r>
      <w:r>
        <w:rPr>
          <w:bCs/>
          <w:szCs w:val="32"/>
        </w:rPr>
        <w:fldChar w:fldCharType="end"/>
      </w:r>
    </w:p>
    <w:p>
      <w:pPr>
        <w:pStyle w:val="17"/>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_Toc8738 </w:instrText>
      </w:r>
      <w:r>
        <w:rPr>
          <w:bCs/>
          <w:szCs w:val="32"/>
        </w:rPr>
        <w:fldChar w:fldCharType="separate"/>
      </w:r>
      <w:r>
        <w:rPr>
          <w:rFonts w:hint="eastAsia"/>
        </w:rPr>
        <w:t>（二）</w:t>
      </w:r>
      <w:r>
        <w:t>注重企业培育，促进协调发展</w:t>
      </w:r>
      <w:r>
        <w:tab/>
      </w:r>
      <w:r>
        <w:fldChar w:fldCharType="begin"/>
      </w:r>
      <w:r>
        <w:instrText xml:space="preserve"> PAGEREF _Toc8738 \h </w:instrText>
      </w:r>
      <w:r>
        <w:fldChar w:fldCharType="separate"/>
      </w:r>
      <w:r>
        <w:t>22</w:t>
      </w:r>
      <w:r>
        <w:fldChar w:fldCharType="end"/>
      </w:r>
      <w:r>
        <w:rPr>
          <w:bCs/>
          <w:szCs w:val="32"/>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_Toc25795 </w:instrText>
      </w:r>
      <w:r>
        <w:rPr>
          <w:bCs/>
          <w:szCs w:val="32"/>
        </w:rPr>
        <w:fldChar w:fldCharType="separate"/>
      </w:r>
      <w:r>
        <w:rPr>
          <w:rFonts w:hint="eastAsia"/>
        </w:rPr>
        <w:t>1. 培育壮大龙头骨干企业</w:t>
      </w:r>
      <w:r>
        <w:tab/>
      </w:r>
      <w:r>
        <w:fldChar w:fldCharType="begin"/>
      </w:r>
      <w:r>
        <w:instrText xml:space="preserve"> PAGEREF _Toc25795 \h </w:instrText>
      </w:r>
      <w:r>
        <w:fldChar w:fldCharType="separate"/>
      </w:r>
      <w:r>
        <w:t>22</w:t>
      </w:r>
      <w:r>
        <w:fldChar w:fldCharType="end"/>
      </w:r>
      <w:r>
        <w:rPr>
          <w:bCs/>
          <w:szCs w:val="32"/>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_Toc8676 </w:instrText>
      </w:r>
      <w:r>
        <w:rPr>
          <w:bCs/>
          <w:szCs w:val="32"/>
        </w:rPr>
        <w:fldChar w:fldCharType="separate"/>
      </w:r>
      <w:r>
        <w:rPr>
          <w:rFonts w:hint="eastAsia"/>
        </w:rPr>
        <w:t>2. 促进大中小企业协调发展</w:t>
      </w:r>
      <w:r>
        <w:tab/>
      </w:r>
      <w:r>
        <w:fldChar w:fldCharType="begin"/>
      </w:r>
      <w:r>
        <w:instrText xml:space="preserve"> PAGEREF _Toc8676 \h </w:instrText>
      </w:r>
      <w:r>
        <w:fldChar w:fldCharType="separate"/>
      </w:r>
      <w:r>
        <w:t>22</w:t>
      </w:r>
      <w:r>
        <w:fldChar w:fldCharType="end"/>
      </w:r>
      <w:r>
        <w:rPr>
          <w:bCs/>
          <w:szCs w:val="32"/>
        </w:rPr>
        <w:fldChar w:fldCharType="end"/>
      </w:r>
    </w:p>
    <w:p>
      <w:pPr>
        <w:pStyle w:val="17"/>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_Toc31526 </w:instrText>
      </w:r>
      <w:r>
        <w:rPr>
          <w:bCs/>
          <w:szCs w:val="32"/>
        </w:rPr>
        <w:fldChar w:fldCharType="separate"/>
      </w:r>
      <w:r>
        <w:rPr>
          <w:rFonts w:hint="eastAsia"/>
        </w:rPr>
        <w:t>（三）</w:t>
      </w:r>
      <w:r>
        <w:t>加快技术创新，推动产业升级</w:t>
      </w:r>
      <w:r>
        <w:tab/>
      </w:r>
      <w:r>
        <w:fldChar w:fldCharType="begin"/>
      </w:r>
      <w:r>
        <w:instrText xml:space="preserve"> PAGEREF _Toc31526 \h </w:instrText>
      </w:r>
      <w:r>
        <w:fldChar w:fldCharType="separate"/>
      </w:r>
      <w:r>
        <w:t>23</w:t>
      </w:r>
      <w:r>
        <w:fldChar w:fldCharType="end"/>
      </w:r>
      <w:r>
        <w:rPr>
          <w:bCs/>
          <w:szCs w:val="32"/>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_Toc7781 </w:instrText>
      </w:r>
      <w:r>
        <w:rPr>
          <w:bCs/>
          <w:szCs w:val="32"/>
        </w:rPr>
        <w:fldChar w:fldCharType="separate"/>
      </w:r>
      <w:r>
        <w:rPr>
          <w:rFonts w:hint="eastAsia"/>
        </w:rPr>
        <w:t>1. 突破一批关键技术</w:t>
      </w:r>
      <w:r>
        <w:tab/>
      </w:r>
      <w:r>
        <w:fldChar w:fldCharType="begin"/>
      </w:r>
      <w:r>
        <w:instrText xml:space="preserve"> PAGEREF _Toc7781 \h </w:instrText>
      </w:r>
      <w:r>
        <w:fldChar w:fldCharType="separate"/>
      </w:r>
      <w:r>
        <w:t>23</w:t>
      </w:r>
      <w:r>
        <w:fldChar w:fldCharType="end"/>
      </w:r>
      <w:r>
        <w:rPr>
          <w:bCs/>
          <w:szCs w:val="32"/>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_Toc17606 </w:instrText>
      </w:r>
      <w:r>
        <w:rPr>
          <w:bCs/>
          <w:szCs w:val="32"/>
        </w:rPr>
        <w:fldChar w:fldCharType="separate"/>
      </w:r>
      <w:r>
        <w:rPr>
          <w:rFonts w:hint="eastAsia"/>
        </w:rPr>
        <w:t>2. 完善产业创新体系</w:t>
      </w:r>
      <w:r>
        <w:tab/>
      </w:r>
      <w:r>
        <w:fldChar w:fldCharType="begin"/>
      </w:r>
      <w:r>
        <w:instrText xml:space="preserve"> PAGEREF _Toc17606 \h </w:instrText>
      </w:r>
      <w:r>
        <w:fldChar w:fldCharType="separate"/>
      </w:r>
      <w:r>
        <w:t>23</w:t>
      </w:r>
      <w:r>
        <w:fldChar w:fldCharType="end"/>
      </w:r>
      <w:r>
        <w:rPr>
          <w:bCs/>
          <w:szCs w:val="32"/>
        </w:rPr>
        <w:fldChar w:fldCharType="end"/>
      </w:r>
    </w:p>
    <w:p>
      <w:pPr>
        <w:pStyle w:val="17"/>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_Toc2485 </w:instrText>
      </w:r>
      <w:r>
        <w:rPr>
          <w:bCs/>
          <w:szCs w:val="32"/>
        </w:rPr>
        <w:fldChar w:fldCharType="separate"/>
      </w:r>
      <w:r>
        <w:rPr>
          <w:rFonts w:hint="eastAsia"/>
        </w:rPr>
        <w:t>（四）注重集群发展，形成产业集聚</w:t>
      </w:r>
      <w:r>
        <w:tab/>
      </w:r>
      <w:r>
        <w:fldChar w:fldCharType="begin"/>
      </w:r>
      <w:r>
        <w:instrText xml:space="preserve"> PAGEREF _Toc2485 \h </w:instrText>
      </w:r>
      <w:r>
        <w:fldChar w:fldCharType="separate"/>
      </w:r>
      <w:r>
        <w:t>24</w:t>
      </w:r>
      <w:r>
        <w:fldChar w:fldCharType="end"/>
      </w:r>
      <w:r>
        <w:rPr>
          <w:bCs/>
          <w:szCs w:val="32"/>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_Toc6499 </w:instrText>
      </w:r>
      <w:r>
        <w:rPr>
          <w:bCs/>
          <w:szCs w:val="32"/>
        </w:rPr>
        <w:fldChar w:fldCharType="separate"/>
      </w:r>
      <w:r>
        <w:rPr>
          <w:rFonts w:hint="eastAsia"/>
        </w:rPr>
        <w:t>1. 规划建设一批产业发展集聚区</w:t>
      </w:r>
      <w:r>
        <w:tab/>
      </w:r>
      <w:r>
        <w:fldChar w:fldCharType="begin"/>
      </w:r>
      <w:r>
        <w:instrText xml:space="preserve"> PAGEREF _Toc6499 \h </w:instrText>
      </w:r>
      <w:r>
        <w:fldChar w:fldCharType="separate"/>
      </w:r>
      <w:r>
        <w:t>24</w:t>
      </w:r>
      <w:r>
        <w:fldChar w:fldCharType="end"/>
      </w:r>
      <w:r>
        <w:rPr>
          <w:bCs/>
          <w:szCs w:val="32"/>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_Toc31449 </w:instrText>
      </w:r>
      <w:r>
        <w:rPr>
          <w:bCs/>
          <w:szCs w:val="32"/>
        </w:rPr>
        <w:fldChar w:fldCharType="separate"/>
      </w:r>
      <w:r>
        <w:rPr>
          <w:rFonts w:hint="eastAsia"/>
        </w:rPr>
        <w:t>2. 提高集聚区的配套服务能力</w:t>
      </w:r>
      <w:r>
        <w:tab/>
      </w:r>
      <w:r>
        <w:fldChar w:fldCharType="begin"/>
      </w:r>
      <w:r>
        <w:instrText xml:space="preserve"> PAGEREF _Toc31449 \h </w:instrText>
      </w:r>
      <w:r>
        <w:fldChar w:fldCharType="separate"/>
      </w:r>
      <w:r>
        <w:t>25</w:t>
      </w:r>
      <w:r>
        <w:fldChar w:fldCharType="end"/>
      </w:r>
      <w:r>
        <w:rPr>
          <w:bCs/>
          <w:szCs w:val="32"/>
        </w:rPr>
        <w:fldChar w:fldCharType="end"/>
      </w:r>
    </w:p>
    <w:p>
      <w:pPr>
        <w:pStyle w:val="16"/>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_Toc24869 </w:instrText>
      </w:r>
      <w:r>
        <w:rPr>
          <w:bCs/>
          <w:szCs w:val="32"/>
        </w:rPr>
        <w:fldChar w:fldCharType="separate"/>
      </w:r>
      <w:r>
        <w:rPr>
          <w:rFonts w:hint="eastAsia"/>
        </w:rPr>
        <w:t>六、重点工程</w:t>
      </w:r>
      <w:r>
        <w:tab/>
      </w:r>
      <w:r>
        <w:fldChar w:fldCharType="begin"/>
      </w:r>
      <w:r>
        <w:instrText xml:space="preserve"> PAGEREF _Toc24869 \h </w:instrText>
      </w:r>
      <w:r>
        <w:fldChar w:fldCharType="separate"/>
      </w:r>
      <w:r>
        <w:t>25</w:t>
      </w:r>
      <w:r>
        <w:fldChar w:fldCharType="end"/>
      </w:r>
      <w:r>
        <w:rPr>
          <w:bCs/>
          <w:szCs w:val="32"/>
        </w:rPr>
        <w:fldChar w:fldCharType="end"/>
      </w:r>
    </w:p>
    <w:p>
      <w:pPr>
        <w:pStyle w:val="17"/>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_Toc6571 </w:instrText>
      </w:r>
      <w:r>
        <w:rPr>
          <w:bCs/>
          <w:szCs w:val="32"/>
        </w:rPr>
        <w:fldChar w:fldCharType="separate"/>
      </w:r>
      <w:r>
        <w:rPr>
          <w:rFonts w:hint="eastAsia"/>
        </w:rPr>
        <w:t>（一）</w:t>
      </w:r>
      <w:r>
        <w:t>“三品”战略</w:t>
      </w:r>
      <w:r>
        <w:rPr>
          <w:rFonts w:hint="eastAsia"/>
        </w:rPr>
        <w:t>工程</w:t>
      </w:r>
      <w:r>
        <w:tab/>
      </w:r>
      <w:r>
        <w:fldChar w:fldCharType="begin"/>
      </w:r>
      <w:r>
        <w:instrText xml:space="preserve"> PAGEREF _Toc6571 \h </w:instrText>
      </w:r>
      <w:r>
        <w:fldChar w:fldCharType="separate"/>
      </w:r>
      <w:r>
        <w:t>25</w:t>
      </w:r>
      <w:r>
        <w:fldChar w:fldCharType="end"/>
      </w:r>
      <w:r>
        <w:rPr>
          <w:bCs/>
          <w:szCs w:val="32"/>
        </w:rPr>
        <w:fldChar w:fldCharType="end"/>
      </w:r>
    </w:p>
    <w:p>
      <w:pPr>
        <w:pStyle w:val="17"/>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_Toc23186 </w:instrText>
      </w:r>
      <w:r>
        <w:rPr>
          <w:bCs/>
          <w:szCs w:val="32"/>
        </w:rPr>
        <w:fldChar w:fldCharType="separate"/>
      </w:r>
      <w:r>
        <w:rPr>
          <w:rFonts w:hint="eastAsia"/>
        </w:rPr>
        <w:t>（二）数字经济工程</w:t>
      </w:r>
      <w:r>
        <w:tab/>
      </w:r>
      <w:r>
        <w:fldChar w:fldCharType="begin"/>
      </w:r>
      <w:r>
        <w:instrText xml:space="preserve"> PAGEREF _Toc23186 \h </w:instrText>
      </w:r>
      <w:r>
        <w:fldChar w:fldCharType="separate"/>
      </w:r>
      <w:r>
        <w:t>26</w:t>
      </w:r>
      <w:r>
        <w:fldChar w:fldCharType="end"/>
      </w:r>
      <w:r>
        <w:rPr>
          <w:bCs/>
          <w:szCs w:val="32"/>
        </w:rPr>
        <w:fldChar w:fldCharType="end"/>
      </w:r>
    </w:p>
    <w:p>
      <w:pPr>
        <w:pStyle w:val="17"/>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_Toc7123 </w:instrText>
      </w:r>
      <w:r>
        <w:rPr>
          <w:bCs/>
          <w:szCs w:val="32"/>
        </w:rPr>
        <w:fldChar w:fldCharType="separate"/>
      </w:r>
      <w:r>
        <w:rPr>
          <w:rFonts w:hint="eastAsia"/>
        </w:rPr>
        <w:t>（三）</w:t>
      </w:r>
      <w:r>
        <w:t>食品安全</w:t>
      </w:r>
      <w:r>
        <w:rPr>
          <w:rFonts w:hint="eastAsia"/>
        </w:rPr>
        <w:t>工程</w:t>
      </w:r>
      <w:r>
        <w:tab/>
      </w:r>
      <w:r>
        <w:fldChar w:fldCharType="begin"/>
      </w:r>
      <w:r>
        <w:instrText xml:space="preserve"> PAGEREF _Toc7123 \h </w:instrText>
      </w:r>
      <w:r>
        <w:fldChar w:fldCharType="separate"/>
      </w:r>
      <w:r>
        <w:t>27</w:t>
      </w:r>
      <w:r>
        <w:fldChar w:fldCharType="end"/>
      </w:r>
      <w:r>
        <w:rPr>
          <w:bCs/>
          <w:szCs w:val="32"/>
        </w:rPr>
        <w:fldChar w:fldCharType="end"/>
      </w:r>
    </w:p>
    <w:p>
      <w:pPr>
        <w:pStyle w:val="17"/>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_Toc31270 </w:instrText>
      </w:r>
      <w:r>
        <w:rPr>
          <w:bCs/>
          <w:szCs w:val="32"/>
        </w:rPr>
        <w:fldChar w:fldCharType="separate"/>
      </w:r>
      <w:r>
        <w:rPr>
          <w:rFonts w:hint="eastAsia"/>
        </w:rPr>
        <w:t>（四）</w:t>
      </w:r>
      <w:r>
        <w:t>市场拓展</w:t>
      </w:r>
      <w:r>
        <w:rPr>
          <w:rFonts w:hint="eastAsia"/>
        </w:rPr>
        <w:t>工程</w:t>
      </w:r>
      <w:r>
        <w:tab/>
      </w:r>
      <w:r>
        <w:fldChar w:fldCharType="begin"/>
      </w:r>
      <w:r>
        <w:instrText xml:space="preserve"> PAGEREF _Toc31270 \h </w:instrText>
      </w:r>
      <w:r>
        <w:fldChar w:fldCharType="separate"/>
      </w:r>
      <w:r>
        <w:t>28</w:t>
      </w:r>
      <w:r>
        <w:fldChar w:fldCharType="end"/>
      </w:r>
      <w:r>
        <w:rPr>
          <w:bCs/>
          <w:szCs w:val="32"/>
        </w:rPr>
        <w:fldChar w:fldCharType="end"/>
      </w:r>
    </w:p>
    <w:p>
      <w:pPr>
        <w:pStyle w:val="16"/>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_Toc26466 </w:instrText>
      </w:r>
      <w:r>
        <w:rPr>
          <w:bCs/>
          <w:szCs w:val="32"/>
        </w:rPr>
        <w:fldChar w:fldCharType="separate"/>
      </w:r>
      <w:r>
        <w:rPr>
          <w:rFonts w:hint="eastAsia"/>
        </w:rPr>
        <w:t>七、</w:t>
      </w:r>
      <w:r>
        <w:t>保障措施</w:t>
      </w:r>
      <w:r>
        <w:tab/>
      </w:r>
      <w:r>
        <w:fldChar w:fldCharType="begin"/>
      </w:r>
      <w:r>
        <w:instrText xml:space="preserve"> PAGEREF _Toc26466 \h </w:instrText>
      </w:r>
      <w:r>
        <w:fldChar w:fldCharType="separate"/>
      </w:r>
      <w:r>
        <w:t>29</w:t>
      </w:r>
      <w:r>
        <w:fldChar w:fldCharType="end"/>
      </w:r>
      <w:r>
        <w:rPr>
          <w:bCs/>
          <w:szCs w:val="32"/>
        </w:rPr>
        <w:fldChar w:fldCharType="end"/>
      </w:r>
    </w:p>
    <w:p>
      <w:pPr>
        <w:pStyle w:val="17"/>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_Toc6129 </w:instrText>
      </w:r>
      <w:r>
        <w:rPr>
          <w:bCs/>
          <w:szCs w:val="32"/>
        </w:rPr>
        <w:fldChar w:fldCharType="separate"/>
      </w:r>
      <w:r>
        <w:rPr>
          <w:rFonts w:hint="eastAsia"/>
        </w:rPr>
        <w:t>（一）</w:t>
      </w:r>
      <w:r>
        <w:t>强化组织领导</w:t>
      </w:r>
      <w:r>
        <w:tab/>
      </w:r>
      <w:r>
        <w:fldChar w:fldCharType="begin"/>
      </w:r>
      <w:r>
        <w:instrText xml:space="preserve"> PAGEREF _Toc6129 \h </w:instrText>
      </w:r>
      <w:r>
        <w:fldChar w:fldCharType="separate"/>
      </w:r>
      <w:r>
        <w:t>29</w:t>
      </w:r>
      <w:r>
        <w:fldChar w:fldCharType="end"/>
      </w:r>
      <w:r>
        <w:rPr>
          <w:bCs/>
          <w:szCs w:val="32"/>
        </w:rPr>
        <w:fldChar w:fldCharType="end"/>
      </w:r>
    </w:p>
    <w:p>
      <w:pPr>
        <w:pStyle w:val="17"/>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_Toc28943 </w:instrText>
      </w:r>
      <w:r>
        <w:rPr>
          <w:bCs/>
          <w:szCs w:val="32"/>
        </w:rPr>
        <w:fldChar w:fldCharType="separate"/>
      </w:r>
      <w:r>
        <w:rPr>
          <w:rFonts w:hint="eastAsia"/>
        </w:rPr>
        <w:t>（二）营造良好</w:t>
      </w:r>
      <w:r>
        <w:t>环境</w:t>
      </w:r>
      <w:r>
        <w:tab/>
      </w:r>
      <w:r>
        <w:fldChar w:fldCharType="begin"/>
      </w:r>
      <w:r>
        <w:instrText xml:space="preserve"> PAGEREF _Toc28943 \h </w:instrText>
      </w:r>
      <w:r>
        <w:fldChar w:fldCharType="separate"/>
      </w:r>
      <w:r>
        <w:t>29</w:t>
      </w:r>
      <w:r>
        <w:fldChar w:fldCharType="end"/>
      </w:r>
      <w:r>
        <w:rPr>
          <w:bCs/>
          <w:szCs w:val="32"/>
        </w:rPr>
        <w:fldChar w:fldCharType="end"/>
      </w:r>
    </w:p>
    <w:p>
      <w:pPr>
        <w:pStyle w:val="17"/>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_Toc32518 </w:instrText>
      </w:r>
      <w:r>
        <w:rPr>
          <w:bCs/>
          <w:szCs w:val="32"/>
        </w:rPr>
        <w:fldChar w:fldCharType="separate"/>
      </w:r>
      <w:r>
        <w:rPr>
          <w:rFonts w:hint="eastAsia"/>
        </w:rPr>
        <w:t>（三）拓宽融资渠道</w:t>
      </w:r>
      <w:r>
        <w:tab/>
      </w:r>
      <w:r>
        <w:fldChar w:fldCharType="begin"/>
      </w:r>
      <w:r>
        <w:instrText xml:space="preserve"> PAGEREF _Toc32518 \h </w:instrText>
      </w:r>
      <w:r>
        <w:fldChar w:fldCharType="separate"/>
      </w:r>
      <w:r>
        <w:t>30</w:t>
      </w:r>
      <w:r>
        <w:fldChar w:fldCharType="end"/>
      </w:r>
      <w:r>
        <w:rPr>
          <w:bCs/>
          <w:szCs w:val="32"/>
        </w:rPr>
        <w:fldChar w:fldCharType="end"/>
      </w:r>
    </w:p>
    <w:p>
      <w:pPr>
        <w:pStyle w:val="17"/>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_Toc15393 </w:instrText>
      </w:r>
      <w:r>
        <w:rPr>
          <w:bCs/>
          <w:szCs w:val="32"/>
        </w:rPr>
        <w:fldChar w:fldCharType="separate"/>
      </w:r>
      <w:r>
        <w:rPr>
          <w:rFonts w:hint="eastAsia"/>
        </w:rPr>
        <w:t>（四）</w:t>
      </w:r>
      <w:r>
        <w:t>加强人才引培</w:t>
      </w:r>
      <w:r>
        <w:tab/>
      </w:r>
      <w:r>
        <w:fldChar w:fldCharType="begin"/>
      </w:r>
      <w:r>
        <w:instrText xml:space="preserve"> PAGEREF _Toc15393 \h </w:instrText>
      </w:r>
      <w:r>
        <w:fldChar w:fldCharType="separate"/>
      </w:r>
      <w:r>
        <w:t>30</w:t>
      </w:r>
      <w:r>
        <w:fldChar w:fldCharType="end"/>
      </w:r>
      <w:r>
        <w:rPr>
          <w:bCs/>
          <w:szCs w:val="32"/>
        </w:rPr>
        <w:fldChar w:fldCharType="end"/>
      </w:r>
    </w:p>
    <w:p>
      <w:pPr>
        <w:pStyle w:val="17"/>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_Toc30462 </w:instrText>
      </w:r>
      <w:r>
        <w:rPr>
          <w:bCs/>
          <w:szCs w:val="32"/>
        </w:rPr>
        <w:fldChar w:fldCharType="separate"/>
      </w:r>
      <w:r>
        <w:rPr>
          <w:rFonts w:hint="eastAsia"/>
        </w:rPr>
        <w:t>（五）加强食品安全监管</w:t>
      </w:r>
      <w:r>
        <w:tab/>
      </w:r>
      <w:r>
        <w:fldChar w:fldCharType="begin"/>
      </w:r>
      <w:r>
        <w:instrText xml:space="preserve"> PAGEREF _Toc30462 \h </w:instrText>
      </w:r>
      <w:r>
        <w:fldChar w:fldCharType="separate"/>
      </w:r>
      <w:r>
        <w:t>31</w:t>
      </w:r>
      <w:r>
        <w:fldChar w:fldCharType="end"/>
      </w:r>
      <w:r>
        <w:rPr>
          <w:bCs/>
          <w:szCs w:val="32"/>
        </w:rPr>
        <w:fldChar w:fldCharType="end"/>
      </w:r>
    </w:p>
    <w:p>
      <w:pPr>
        <w:pStyle w:val="16"/>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_Toc14920 </w:instrText>
      </w:r>
      <w:r>
        <w:rPr>
          <w:bCs/>
          <w:szCs w:val="32"/>
        </w:rPr>
        <w:fldChar w:fldCharType="separate"/>
      </w:r>
      <w:r>
        <w:rPr>
          <w:rFonts w:hint="eastAsia"/>
          <w:szCs w:val="22"/>
        </w:rPr>
        <w:t>附表：</w:t>
      </w:r>
      <w:r>
        <w:tab/>
      </w:r>
      <w:r>
        <w:fldChar w:fldCharType="begin"/>
      </w:r>
      <w:r>
        <w:instrText xml:space="preserve"> PAGEREF _Toc14920 \h </w:instrText>
      </w:r>
      <w:r>
        <w:fldChar w:fldCharType="separate"/>
      </w:r>
      <w:r>
        <w:t>32</w:t>
      </w:r>
      <w:r>
        <w:fldChar w:fldCharType="end"/>
      </w:r>
      <w:r>
        <w:rPr>
          <w:bCs/>
          <w:szCs w:val="32"/>
        </w:rPr>
        <w:fldChar w:fldCharType="end"/>
      </w:r>
    </w:p>
    <w:p>
      <w:pPr>
        <w:pStyle w:val="17"/>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_Toc30073 </w:instrText>
      </w:r>
      <w:r>
        <w:rPr>
          <w:bCs/>
          <w:szCs w:val="32"/>
        </w:rPr>
        <w:fldChar w:fldCharType="separate"/>
      </w:r>
      <w:r>
        <w:rPr>
          <w:rFonts w:hint="eastAsia"/>
          <w:szCs w:val="22"/>
        </w:rPr>
        <w:t>附表1  “十三五”期间主要经济指标执行情况表</w:t>
      </w:r>
      <w:r>
        <w:tab/>
      </w:r>
      <w:r>
        <w:fldChar w:fldCharType="begin"/>
      </w:r>
      <w:r>
        <w:instrText xml:space="preserve"> PAGEREF _Toc30073 \h </w:instrText>
      </w:r>
      <w:r>
        <w:fldChar w:fldCharType="separate"/>
      </w:r>
      <w:r>
        <w:t>33</w:t>
      </w:r>
      <w:r>
        <w:fldChar w:fldCharType="end"/>
      </w:r>
      <w:r>
        <w:rPr>
          <w:bCs/>
          <w:szCs w:val="32"/>
        </w:rPr>
        <w:fldChar w:fldCharType="end"/>
      </w:r>
    </w:p>
    <w:p>
      <w:pPr>
        <w:pStyle w:val="17"/>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_Toc21163 </w:instrText>
      </w:r>
      <w:r>
        <w:rPr>
          <w:bCs/>
          <w:szCs w:val="32"/>
        </w:rPr>
        <w:fldChar w:fldCharType="separate"/>
      </w:r>
      <w:r>
        <w:rPr>
          <w:rFonts w:hint="eastAsia"/>
          <w:szCs w:val="22"/>
        </w:rPr>
        <w:t>附表2  玉溪市“十四五”绿色食品制造业预期主要</w:t>
      </w:r>
      <w:r>
        <w:tab/>
      </w:r>
      <w:r>
        <w:fldChar w:fldCharType="begin"/>
      </w:r>
      <w:r>
        <w:instrText xml:space="preserve"> PAGEREF _Toc21163 \h </w:instrText>
      </w:r>
      <w:r>
        <w:fldChar w:fldCharType="separate"/>
      </w:r>
      <w:r>
        <w:t>33</w:t>
      </w:r>
      <w:r>
        <w:fldChar w:fldCharType="end"/>
      </w:r>
      <w:r>
        <w:rPr>
          <w:bCs/>
          <w:szCs w:val="32"/>
        </w:rPr>
        <w:fldChar w:fldCharType="end"/>
      </w:r>
    </w:p>
    <w:p>
      <w:pPr>
        <w:pStyle w:val="17"/>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_Toc29944 </w:instrText>
      </w:r>
      <w:r>
        <w:rPr>
          <w:bCs/>
          <w:szCs w:val="32"/>
        </w:rPr>
        <w:fldChar w:fldCharType="separate"/>
      </w:r>
      <w:r>
        <w:rPr>
          <w:rFonts w:hint="eastAsia"/>
          <w:szCs w:val="22"/>
        </w:rPr>
        <w:t>经济指标表</w:t>
      </w:r>
      <w:r>
        <w:tab/>
      </w:r>
      <w:r>
        <w:fldChar w:fldCharType="begin"/>
      </w:r>
      <w:r>
        <w:instrText xml:space="preserve"> PAGEREF _Toc29944 \h </w:instrText>
      </w:r>
      <w:r>
        <w:fldChar w:fldCharType="separate"/>
      </w:r>
      <w:r>
        <w:t>33</w:t>
      </w:r>
      <w:r>
        <w:fldChar w:fldCharType="end"/>
      </w:r>
      <w:r>
        <w:rPr>
          <w:bCs/>
          <w:szCs w:val="32"/>
        </w:rPr>
        <w:fldChar w:fldCharType="end"/>
      </w:r>
    </w:p>
    <w:p>
      <w:pPr>
        <w:pStyle w:val="17"/>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_Toc28116 </w:instrText>
      </w:r>
      <w:r>
        <w:rPr>
          <w:bCs/>
          <w:szCs w:val="32"/>
        </w:rPr>
        <w:fldChar w:fldCharType="separate"/>
      </w:r>
      <w:r>
        <w:rPr>
          <w:rFonts w:hint="eastAsia"/>
          <w:szCs w:val="22"/>
        </w:rPr>
        <w:t>附表</w:t>
      </w:r>
      <w:r>
        <w:rPr>
          <w:szCs w:val="22"/>
        </w:rPr>
        <w:t>3</w:t>
      </w:r>
      <w:r>
        <w:rPr>
          <w:rFonts w:hint="eastAsia"/>
          <w:szCs w:val="22"/>
        </w:rPr>
        <w:t xml:space="preserve">  玉溪市“十四五”绿色食品制造业重点项目库</w:t>
      </w:r>
      <w:r>
        <w:tab/>
      </w:r>
      <w:r>
        <w:fldChar w:fldCharType="begin"/>
      </w:r>
      <w:r>
        <w:instrText xml:space="preserve"> PAGEREF _Toc28116 \h </w:instrText>
      </w:r>
      <w:r>
        <w:fldChar w:fldCharType="separate"/>
      </w:r>
      <w:r>
        <w:t>34</w:t>
      </w:r>
      <w:r>
        <w:fldChar w:fldCharType="end"/>
      </w:r>
      <w:r>
        <w:rPr>
          <w:bCs/>
          <w:szCs w:val="32"/>
        </w:rPr>
        <w:fldChar w:fldCharType="end"/>
      </w:r>
    </w:p>
    <w:p>
      <w:pPr>
        <w:pStyle w:val="17"/>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_Toc31658 </w:instrText>
      </w:r>
      <w:r>
        <w:rPr>
          <w:bCs/>
          <w:szCs w:val="32"/>
        </w:rPr>
        <w:fldChar w:fldCharType="separate"/>
      </w:r>
      <w:r>
        <w:rPr>
          <w:rFonts w:hint="eastAsia"/>
          <w:szCs w:val="22"/>
        </w:rPr>
        <w:t>附表</w:t>
      </w:r>
      <w:r>
        <w:rPr>
          <w:szCs w:val="22"/>
        </w:rPr>
        <w:t>4</w:t>
      </w:r>
      <w:r>
        <w:rPr>
          <w:rFonts w:hint="eastAsia"/>
          <w:szCs w:val="22"/>
        </w:rPr>
        <w:t xml:space="preserve">  玉溪市“十四五”绿色食品制造业需要国家、省支持的项目清单</w:t>
      </w:r>
      <w:r>
        <w:tab/>
      </w:r>
      <w:r>
        <w:fldChar w:fldCharType="begin"/>
      </w:r>
      <w:r>
        <w:instrText xml:space="preserve"> PAGEREF _Toc31658 \h </w:instrText>
      </w:r>
      <w:r>
        <w:fldChar w:fldCharType="separate"/>
      </w:r>
      <w:r>
        <w:t>45</w:t>
      </w:r>
      <w:r>
        <w:fldChar w:fldCharType="end"/>
      </w:r>
      <w:r>
        <w:rPr>
          <w:bCs/>
          <w:szCs w:val="32"/>
        </w:rPr>
        <w:fldChar w:fldCharType="end"/>
      </w:r>
    </w:p>
    <w:p>
      <w:pPr>
        <w:pStyle w:val="17"/>
        <w:keepNext w:val="0"/>
        <w:keepLines w:val="0"/>
        <w:pageBreakBefore w:val="0"/>
        <w:widowControl w:val="0"/>
        <w:tabs>
          <w:tab w:val="right" w:leader="dot" w:pos="8306"/>
        </w:tabs>
        <w:kinsoku/>
        <w:wordWrap/>
        <w:overflowPunct/>
        <w:topLinePunct w:val="0"/>
        <w:autoSpaceDE/>
        <w:autoSpaceDN/>
        <w:bidi w:val="0"/>
        <w:adjustRightInd/>
        <w:snapToGrid/>
        <w:ind w:firstLine="0" w:firstLineChars="0"/>
        <w:textAlignment w:val="auto"/>
      </w:pPr>
      <w:r>
        <w:rPr>
          <w:bCs/>
          <w:szCs w:val="32"/>
        </w:rPr>
        <w:fldChar w:fldCharType="begin"/>
      </w:r>
      <w:r>
        <w:rPr>
          <w:bCs/>
          <w:szCs w:val="32"/>
        </w:rPr>
        <w:instrText xml:space="preserve"> HYPERLINK \l _Toc25050 </w:instrText>
      </w:r>
      <w:r>
        <w:rPr>
          <w:bCs/>
          <w:szCs w:val="32"/>
        </w:rPr>
        <w:fldChar w:fldCharType="separate"/>
      </w:r>
      <w:r>
        <w:rPr>
          <w:rFonts w:hint="eastAsia"/>
          <w:szCs w:val="22"/>
        </w:rPr>
        <w:t>附表5  配套政策目录</w:t>
      </w:r>
      <w:r>
        <w:tab/>
      </w:r>
      <w:r>
        <w:fldChar w:fldCharType="begin"/>
      </w:r>
      <w:r>
        <w:instrText xml:space="preserve"> PAGEREF _Toc25050 \h </w:instrText>
      </w:r>
      <w:r>
        <w:fldChar w:fldCharType="separate"/>
      </w:r>
      <w:r>
        <w:t>50</w:t>
      </w:r>
      <w:r>
        <w:fldChar w:fldCharType="end"/>
      </w:r>
      <w:r>
        <w:rPr>
          <w:bCs/>
          <w:szCs w:val="32"/>
        </w:rPr>
        <w:fldChar w:fldCharType="end"/>
      </w:r>
    </w:p>
    <w:p>
      <w:pPr>
        <w:pStyle w:val="17"/>
        <w:keepNext w:val="0"/>
        <w:keepLines w:val="0"/>
        <w:pageBreakBefore w:val="0"/>
        <w:widowControl w:val="0"/>
        <w:tabs>
          <w:tab w:val="right" w:leader="dot" w:pos="8296"/>
        </w:tabs>
        <w:kinsoku/>
        <w:wordWrap/>
        <w:overflowPunct/>
        <w:topLinePunct w:val="0"/>
        <w:autoSpaceDE/>
        <w:autoSpaceDN/>
        <w:bidi w:val="0"/>
        <w:adjustRightInd/>
        <w:snapToGrid/>
        <w:ind w:left="640" w:firstLine="0" w:firstLineChars="0"/>
        <w:textAlignment w:val="auto"/>
        <w:rPr>
          <w:bCs/>
          <w:szCs w:val="32"/>
        </w:rPr>
      </w:pPr>
      <w:r>
        <w:rPr>
          <w:bCs/>
          <w:szCs w:val="32"/>
        </w:rPr>
        <w:fldChar w:fldCharType="end"/>
      </w:r>
    </w:p>
    <w:p>
      <w:pPr>
        <w:pStyle w:val="3"/>
        <w:ind w:firstLine="0" w:firstLineChars="0"/>
        <w:jc w:val="center"/>
        <w:rPr>
          <w:szCs w:val="22"/>
        </w:rPr>
        <w:sectPr>
          <w:headerReference r:id="rId5" w:type="default"/>
          <w:footerReference r:id="rId6" w:type="default"/>
          <w:pgSz w:w="11906" w:h="16838"/>
          <w:pgMar w:top="1440" w:right="1800" w:bottom="1440" w:left="1800" w:header="851" w:footer="992" w:gutter="0"/>
          <w:pgNumType w:fmt="decimal" w:start="1"/>
          <w:cols w:space="425" w:num="1"/>
          <w:docGrid w:type="lines" w:linePitch="312" w:charSpace="0"/>
        </w:sectPr>
      </w:pPr>
    </w:p>
    <w:p>
      <w:pPr>
        <w:pStyle w:val="3"/>
        <w:ind w:left="0" w:leftChars="0" w:firstLine="0" w:firstLineChars="0"/>
        <w:jc w:val="center"/>
        <w:rPr>
          <w:b w:val="0"/>
          <w:bCs/>
          <w:szCs w:val="22"/>
        </w:rPr>
      </w:pPr>
      <w:bookmarkStart w:id="0" w:name="_Toc26434"/>
      <w:r>
        <w:rPr>
          <w:b w:val="0"/>
          <w:bCs/>
          <w:szCs w:val="22"/>
        </w:rPr>
        <w:t>前</w:t>
      </w:r>
      <w:r>
        <w:rPr>
          <w:rFonts w:hint="eastAsia"/>
          <w:b w:val="0"/>
          <w:bCs/>
          <w:szCs w:val="22"/>
        </w:rPr>
        <w:t xml:space="preserve"> </w:t>
      </w:r>
      <w:r>
        <w:rPr>
          <w:b w:val="0"/>
          <w:bCs/>
          <w:szCs w:val="22"/>
        </w:rPr>
        <w:t>言</w:t>
      </w:r>
      <w:bookmarkEnd w:id="0"/>
    </w:p>
    <w:p>
      <w:pPr>
        <w:ind w:firstLine="640"/>
      </w:pPr>
    </w:p>
    <w:p>
      <w:pPr>
        <w:ind w:firstLine="640"/>
      </w:pPr>
      <w:r>
        <w:rPr>
          <w:rFonts w:hint="eastAsia"/>
        </w:rPr>
        <w:t>绿色食品制造业事关人类</w:t>
      </w:r>
      <w:r>
        <w:t>生命健康</w:t>
      </w:r>
      <w:r>
        <w:rPr>
          <w:rFonts w:hint="eastAsia"/>
        </w:rPr>
        <w:t>，产业链长、波动性小、景气周期长，可实现百姓富与生态美的有机统一，是我省致力打造的重点产业。加快发展绿色食品制造业是贯彻落实我省关于促进经济高质量跨越式发展和打造世界一流“绿色食品牌”的精神，用工业化理念推动我市食品产业高质量发展的具体体现。玉溪市绿色食品制造业具有悠久的发展历史，良好的发展基础，以及坚实的的原料资源保障。</w:t>
      </w:r>
    </w:p>
    <w:p>
      <w:pPr>
        <w:ind w:firstLine="640"/>
        <w:rPr>
          <w:szCs w:val="22"/>
        </w:rPr>
      </w:pPr>
      <w:r>
        <w:rPr>
          <w:rFonts w:hint="eastAsia"/>
        </w:rPr>
        <w:t>我国经济已由高速增长阶段转向高质量发展阶段，正处在转变发展方式、优化经济结构、转换增长动力的攻关期。我国将进入新发展阶段以及国内大循环、国际国内双循环大背景，对绿色食品制造业提出了新要求，绿色食品制造业将朝引领消费，品质和结构提升的方向发展，要求我市绿色食品制造业在“十四五”期间上一个新台阶。《玉溪市“十四五”绿色食品制造业发展规划》的制定，将有助于推动产业实现“产品+品牌+企业+基地”的有机结合，引导我市食品企业瞄准国际国内高端市场，做精特色、做大存量、做好增量、做优效益，强力推进绿色食品制造业向绿色化、优质化、差异化、品牌化方向发展，不断提升</w:t>
      </w:r>
      <w:r>
        <w:rPr>
          <w:rFonts w:hint="eastAsia"/>
          <w:szCs w:val="22"/>
        </w:rPr>
        <w:t>绿色食品制造业整体竞争力，实现更加稳定、更有效益、更可持续的发展。本</w:t>
      </w:r>
      <w:r>
        <w:rPr>
          <w:szCs w:val="22"/>
        </w:rPr>
        <w:t>规划期限为2021—2025年。</w:t>
      </w:r>
    </w:p>
    <w:p>
      <w:pPr>
        <w:ind w:firstLine="640"/>
      </w:pPr>
    </w:p>
    <w:p>
      <w:pPr>
        <w:pStyle w:val="3"/>
        <w:ind w:firstLine="723"/>
        <w:rPr>
          <w:b w:val="0"/>
          <w:bCs/>
        </w:rPr>
      </w:pPr>
      <w:bookmarkStart w:id="1" w:name="_Toc29059"/>
      <w:r>
        <w:rPr>
          <w:b w:val="0"/>
          <w:bCs/>
        </w:rPr>
        <w:t>一、“十三五”发展回顾</w:t>
      </w:r>
      <w:bookmarkEnd w:id="1"/>
    </w:p>
    <w:p>
      <w:pPr>
        <w:pStyle w:val="4"/>
        <w:rPr>
          <w:rFonts w:ascii="Times New Roman" w:hAnsi="Times New Roman"/>
          <w:b w:val="0"/>
          <w:bCs/>
          <w:szCs w:val="22"/>
        </w:rPr>
      </w:pPr>
      <w:bookmarkStart w:id="2" w:name="_Toc9744"/>
      <w:r>
        <w:rPr>
          <w:rFonts w:hint="eastAsia" w:ascii="Times New Roman" w:hAnsi="Times New Roman"/>
          <w:b w:val="0"/>
          <w:bCs/>
          <w:szCs w:val="22"/>
        </w:rPr>
        <w:t>（一）“十三五”期间产业发展情况</w:t>
      </w:r>
      <w:bookmarkEnd w:id="2"/>
    </w:p>
    <w:p>
      <w:pPr>
        <w:ind w:firstLine="640"/>
        <w:rPr>
          <w:b w:val="0"/>
          <w:bCs/>
        </w:rPr>
      </w:pPr>
      <w:r>
        <w:rPr>
          <w:rFonts w:hint="eastAsia"/>
          <w:b w:val="0"/>
          <w:bCs/>
        </w:rPr>
        <w:t>2016年、2017年、2018年、2019年绿色食品制造业实现工业总产值分别为141.0亿元、178.8亿元、165.0亿元、174.0亿元，年均增速7.2%。2020年因疫情影响实现工业总产值131.5亿元、同比下降19.7%。</w:t>
      </w:r>
    </w:p>
    <w:p>
      <w:pPr>
        <w:ind w:firstLine="640"/>
        <w:rPr>
          <w:b w:val="0"/>
          <w:bCs/>
        </w:rPr>
      </w:pPr>
      <w:r>
        <w:rPr>
          <w:rFonts w:hint="eastAsia"/>
          <w:b w:val="0"/>
          <w:bCs/>
        </w:rPr>
        <w:t>2016年、2017年、2018年、2019年绿色食品制造业工业实现工业增加值分别为25.8亿元、32.6亿元、31.8亿元、32.6亿元，年均增速8.1%。2020年因疫情影响实现工业增加值23.2亿元、同比下降23.6%。详见附表1。</w:t>
      </w:r>
    </w:p>
    <w:p>
      <w:pPr>
        <w:pStyle w:val="4"/>
        <w:rPr>
          <w:rFonts w:ascii="Times New Roman" w:hAnsi="Times New Roman"/>
          <w:b w:val="0"/>
          <w:bCs/>
          <w:color w:val="auto"/>
        </w:rPr>
      </w:pPr>
      <w:bookmarkStart w:id="3" w:name="_Toc29422"/>
      <w:r>
        <w:rPr>
          <w:rFonts w:ascii="Times New Roman" w:hAnsi="Times New Roman"/>
          <w:b w:val="0"/>
          <w:bCs/>
          <w:color w:val="auto"/>
        </w:rPr>
        <w:t>（</w:t>
      </w:r>
      <w:r>
        <w:rPr>
          <w:rFonts w:hint="eastAsia" w:ascii="Times New Roman" w:hAnsi="Times New Roman"/>
          <w:b w:val="0"/>
          <w:bCs/>
          <w:color w:val="auto"/>
        </w:rPr>
        <w:t>二</w:t>
      </w:r>
      <w:r>
        <w:rPr>
          <w:rFonts w:ascii="Times New Roman" w:hAnsi="Times New Roman"/>
          <w:b w:val="0"/>
          <w:bCs/>
          <w:color w:val="auto"/>
        </w:rPr>
        <w:t>）</w:t>
      </w:r>
      <w:r>
        <w:rPr>
          <w:rFonts w:hint="eastAsia" w:ascii="Times New Roman" w:hAnsi="Times New Roman"/>
          <w:b w:val="0"/>
          <w:bCs/>
          <w:color w:val="auto"/>
          <w:szCs w:val="22"/>
        </w:rPr>
        <w:t>“十三五”期间</w:t>
      </w:r>
      <w:r>
        <w:rPr>
          <w:rFonts w:hint="eastAsia" w:ascii="Times New Roman" w:hAnsi="Times New Roman"/>
          <w:b w:val="0"/>
          <w:bCs/>
          <w:color w:val="auto"/>
          <w:szCs w:val="22"/>
          <w:lang w:eastAsia="zh-CN"/>
        </w:rPr>
        <w:t>产业发展</w:t>
      </w:r>
      <w:r>
        <w:rPr>
          <w:rFonts w:hint="eastAsia" w:ascii="Times New Roman" w:hAnsi="Times New Roman"/>
          <w:b w:val="0"/>
          <w:bCs/>
          <w:color w:val="auto"/>
        </w:rPr>
        <w:t>主要成就</w:t>
      </w:r>
      <w:bookmarkEnd w:id="3"/>
    </w:p>
    <w:p>
      <w:pPr>
        <w:pStyle w:val="5"/>
        <w:rPr>
          <w:b w:val="0"/>
          <w:bCs/>
        </w:rPr>
      </w:pPr>
      <w:bookmarkStart w:id="4" w:name="_Toc24438"/>
      <w:bookmarkStart w:id="5" w:name="_Toc26600"/>
      <w:r>
        <w:rPr>
          <w:b w:val="0"/>
          <w:bCs/>
        </w:rPr>
        <w:t>1. 产业</w:t>
      </w:r>
      <w:r>
        <w:rPr>
          <w:rFonts w:hint="eastAsia"/>
          <w:b w:val="0"/>
          <w:bCs/>
        </w:rPr>
        <w:t>规模平稳增长</w:t>
      </w:r>
      <w:bookmarkEnd w:id="4"/>
      <w:bookmarkEnd w:id="5"/>
    </w:p>
    <w:p>
      <w:pPr>
        <w:ind w:firstLine="640"/>
        <w:rPr>
          <w:b w:val="0"/>
          <w:bCs/>
        </w:rPr>
      </w:pPr>
      <w:r>
        <w:rPr>
          <w:rFonts w:hint="eastAsia"/>
          <w:b w:val="0"/>
          <w:bCs/>
          <w:szCs w:val="32"/>
        </w:rPr>
        <w:t>五年来，我市绿色食品制造业保持平稳增长。</w:t>
      </w:r>
      <w:r>
        <w:rPr>
          <w:rFonts w:hint="eastAsia"/>
          <w:b w:val="0"/>
          <w:bCs/>
        </w:rPr>
        <w:t>2020年，全市年销售收入100万元以上绿色食品制造业企业共计135户，规模以上企业72户；实现规模以上工业总产值131.5亿元，比2015年增加36.2亿元，年均增长5.2%。</w:t>
      </w:r>
    </w:p>
    <w:p>
      <w:pPr>
        <w:pStyle w:val="5"/>
        <w:rPr>
          <w:b w:val="0"/>
          <w:bCs/>
        </w:rPr>
      </w:pPr>
      <w:bookmarkStart w:id="6" w:name="_Toc10344"/>
      <w:bookmarkStart w:id="7" w:name="_Toc23325"/>
      <w:r>
        <w:rPr>
          <w:b w:val="0"/>
          <w:bCs/>
        </w:rPr>
        <w:t xml:space="preserve">2. </w:t>
      </w:r>
      <w:r>
        <w:rPr>
          <w:rFonts w:hint="eastAsia"/>
          <w:b w:val="0"/>
          <w:bCs/>
        </w:rPr>
        <w:t>区域特色更加突出</w:t>
      </w:r>
      <w:bookmarkEnd w:id="6"/>
      <w:bookmarkEnd w:id="7"/>
    </w:p>
    <w:p>
      <w:pPr>
        <w:ind w:firstLine="640"/>
        <w:rPr>
          <w:b w:val="0"/>
          <w:bCs/>
        </w:rPr>
      </w:pPr>
      <w:r>
        <w:rPr>
          <w:rFonts w:hint="eastAsia"/>
          <w:b w:val="0"/>
          <w:bCs/>
          <w:color w:val="auto"/>
          <w:szCs w:val="32"/>
        </w:rPr>
        <w:t>“十三五”期间，</w:t>
      </w:r>
      <w:r>
        <w:rPr>
          <w:b w:val="0"/>
          <w:bCs/>
          <w:color w:val="auto"/>
          <w:szCs w:val="32"/>
        </w:rPr>
        <w:t>形成了</w:t>
      </w:r>
      <w:r>
        <w:rPr>
          <w:rFonts w:hint="eastAsia"/>
          <w:b w:val="0"/>
          <w:bCs/>
          <w:color w:val="auto"/>
          <w:szCs w:val="32"/>
        </w:rPr>
        <w:t>3</w:t>
      </w:r>
      <w:r>
        <w:rPr>
          <w:b w:val="0"/>
          <w:bCs/>
          <w:color w:val="auto"/>
          <w:szCs w:val="32"/>
        </w:rPr>
        <w:t>大类</w:t>
      </w:r>
      <w:r>
        <w:rPr>
          <w:rFonts w:hint="eastAsia"/>
          <w:b w:val="0"/>
          <w:bCs/>
          <w:color w:val="auto"/>
          <w:szCs w:val="32"/>
        </w:rPr>
        <w:t>、17个中类、47个小类多种绿色食品制造业加工类别，产品结构逐渐向多元化发展。全市形成了红塔区、通海县为主的糖果糕点和粮油加工</w:t>
      </w:r>
      <w:r>
        <w:rPr>
          <w:rFonts w:hint="eastAsia"/>
          <w:b w:val="0"/>
          <w:bCs/>
          <w:szCs w:val="32"/>
        </w:rPr>
        <w:t>业；红塔区、易门县为主的饮料加工业；通海县、江川区、易门县、新平县为主的酱咸菜调味品加工业；通海县、江川区、澄江市为主的蔬菜加工业；新平县、元江县、华宁县为</w:t>
      </w:r>
      <w:r>
        <w:rPr>
          <w:b w:val="0"/>
          <w:bCs/>
          <w:szCs w:val="32"/>
        </w:rPr>
        <w:t>主的水果加工业；峨山</w:t>
      </w:r>
      <w:r>
        <w:rPr>
          <w:rFonts w:hint="eastAsia"/>
          <w:b w:val="0"/>
          <w:bCs/>
          <w:szCs w:val="32"/>
        </w:rPr>
        <w:t>县</w:t>
      </w:r>
      <w:r>
        <w:rPr>
          <w:b w:val="0"/>
          <w:bCs/>
          <w:szCs w:val="32"/>
        </w:rPr>
        <w:t>、易门</w:t>
      </w:r>
      <w:r>
        <w:rPr>
          <w:rFonts w:hint="eastAsia"/>
          <w:b w:val="0"/>
          <w:bCs/>
          <w:szCs w:val="32"/>
        </w:rPr>
        <w:t>县</w:t>
      </w:r>
      <w:r>
        <w:rPr>
          <w:b w:val="0"/>
          <w:bCs/>
          <w:szCs w:val="32"/>
        </w:rPr>
        <w:t>为主的酿酒业；华宁</w:t>
      </w:r>
      <w:r>
        <w:rPr>
          <w:rFonts w:hint="eastAsia"/>
          <w:b w:val="0"/>
          <w:bCs/>
          <w:szCs w:val="32"/>
        </w:rPr>
        <w:t>县</w:t>
      </w:r>
      <w:r>
        <w:rPr>
          <w:b w:val="0"/>
          <w:bCs/>
          <w:szCs w:val="32"/>
        </w:rPr>
        <w:t>、红塔区为主的肉蛋制品加工业；</w:t>
      </w:r>
      <w:r>
        <w:rPr>
          <w:rFonts w:hint="eastAsia"/>
          <w:b w:val="0"/>
          <w:bCs/>
          <w:szCs w:val="32"/>
        </w:rPr>
        <w:t>澄江市</w:t>
      </w:r>
      <w:r>
        <w:rPr>
          <w:b w:val="0"/>
          <w:bCs/>
          <w:szCs w:val="32"/>
        </w:rPr>
        <w:t>、红塔区为主的休闲保健</w:t>
      </w:r>
      <w:r>
        <w:rPr>
          <w:rFonts w:hint="eastAsia"/>
          <w:b w:val="0"/>
          <w:bCs/>
          <w:szCs w:val="32"/>
        </w:rPr>
        <w:t>绿色食品制造</w:t>
      </w:r>
      <w:r>
        <w:rPr>
          <w:b w:val="0"/>
          <w:bCs/>
          <w:szCs w:val="32"/>
        </w:rPr>
        <w:t>业；易门</w:t>
      </w:r>
      <w:r>
        <w:rPr>
          <w:rFonts w:hint="eastAsia"/>
          <w:b w:val="0"/>
          <w:bCs/>
          <w:szCs w:val="32"/>
        </w:rPr>
        <w:t>县</w:t>
      </w:r>
      <w:r>
        <w:rPr>
          <w:b w:val="0"/>
          <w:bCs/>
          <w:szCs w:val="32"/>
        </w:rPr>
        <w:t>、峨山</w:t>
      </w:r>
      <w:r>
        <w:rPr>
          <w:rFonts w:hint="eastAsia"/>
          <w:b w:val="0"/>
          <w:bCs/>
          <w:szCs w:val="32"/>
        </w:rPr>
        <w:t>县</w:t>
      </w:r>
      <w:r>
        <w:rPr>
          <w:b w:val="0"/>
          <w:bCs/>
          <w:szCs w:val="32"/>
        </w:rPr>
        <w:t>为主的野生菌类</w:t>
      </w:r>
      <w:r>
        <w:rPr>
          <w:rFonts w:hint="eastAsia"/>
          <w:b w:val="0"/>
          <w:bCs/>
          <w:szCs w:val="32"/>
        </w:rPr>
        <w:t>绿色食品制造</w:t>
      </w:r>
      <w:r>
        <w:rPr>
          <w:b w:val="0"/>
          <w:bCs/>
          <w:szCs w:val="32"/>
        </w:rPr>
        <w:t>业；新平</w:t>
      </w:r>
      <w:r>
        <w:rPr>
          <w:rFonts w:hint="eastAsia"/>
          <w:b w:val="0"/>
          <w:bCs/>
          <w:szCs w:val="32"/>
        </w:rPr>
        <w:t>县</w:t>
      </w:r>
      <w:r>
        <w:rPr>
          <w:b w:val="0"/>
          <w:bCs/>
          <w:szCs w:val="32"/>
        </w:rPr>
        <w:t>、元江</w:t>
      </w:r>
      <w:r>
        <w:rPr>
          <w:rFonts w:hint="eastAsia"/>
          <w:b w:val="0"/>
          <w:bCs/>
          <w:szCs w:val="32"/>
        </w:rPr>
        <w:t>县</w:t>
      </w:r>
      <w:r>
        <w:rPr>
          <w:b w:val="0"/>
          <w:bCs/>
          <w:szCs w:val="32"/>
        </w:rPr>
        <w:t>为主的制糖业的</w:t>
      </w:r>
      <w:r>
        <w:rPr>
          <w:rFonts w:hint="eastAsia"/>
          <w:b w:val="0"/>
          <w:bCs/>
          <w:szCs w:val="32"/>
        </w:rPr>
        <w:t>绿色食品制造业</w:t>
      </w:r>
      <w:r>
        <w:rPr>
          <w:b w:val="0"/>
          <w:bCs/>
          <w:szCs w:val="32"/>
        </w:rPr>
        <w:t>格局。</w:t>
      </w:r>
    </w:p>
    <w:p>
      <w:pPr>
        <w:pStyle w:val="5"/>
        <w:rPr>
          <w:b w:val="0"/>
          <w:bCs/>
          <w:szCs w:val="32"/>
        </w:rPr>
      </w:pPr>
      <w:bookmarkStart w:id="8" w:name="_Toc18973"/>
      <w:bookmarkStart w:id="9" w:name="_Toc25516"/>
      <w:r>
        <w:rPr>
          <w:b w:val="0"/>
          <w:bCs/>
        </w:rPr>
        <w:t>3. 品牌</w:t>
      </w:r>
      <w:r>
        <w:rPr>
          <w:rFonts w:hint="eastAsia"/>
          <w:b w:val="0"/>
          <w:bCs/>
        </w:rPr>
        <w:t>创建效果明显</w:t>
      </w:r>
      <w:bookmarkEnd w:id="8"/>
      <w:bookmarkEnd w:id="9"/>
    </w:p>
    <w:p>
      <w:pPr>
        <w:ind w:firstLine="640"/>
        <w:rPr>
          <w:b w:val="0"/>
          <w:bCs/>
          <w:color w:val="auto"/>
          <w:szCs w:val="32"/>
        </w:rPr>
      </w:pPr>
      <w:r>
        <w:rPr>
          <w:rFonts w:hint="eastAsia"/>
          <w:b w:val="0"/>
          <w:bCs/>
          <w:color w:val="auto"/>
          <w:szCs w:val="32"/>
        </w:rPr>
        <w:t>2016年</w:t>
      </w:r>
      <w:r>
        <w:rPr>
          <w:rFonts w:hint="eastAsia"/>
          <w:b w:val="0"/>
          <w:bCs/>
          <w:color w:val="auto"/>
          <w:szCs w:val="32"/>
          <w:lang w:val="zh-TW" w:eastAsia="zh-TW"/>
        </w:rPr>
        <w:t>实施</w:t>
      </w:r>
      <w:r>
        <w:rPr>
          <w:rFonts w:hint="eastAsia"/>
          <w:b w:val="0"/>
          <w:bCs/>
          <w:color w:val="auto"/>
          <w:szCs w:val="32"/>
          <w:lang w:val="zh-TW"/>
        </w:rPr>
        <w:t>“</w:t>
      </w:r>
      <w:r>
        <w:rPr>
          <w:rFonts w:hint="eastAsia"/>
          <w:b w:val="0"/>
          <w:bCs/>
          <w:color w:val="auto"/>
          <w:szCs w:val="32"/>
          <w:lang w:val="zh-TW" w:eastAsia="zh-TW"/>
        </w:rPr>
        <w:t>增品种、提品质、创品牌</w:t>
      </w:r>
      <w:r>
        <w:rPr>
          <w:rFonts w:hint="eastAsia"/>
          <w:b w:val="0"/>
          <w:bCs/>
          <w:color w:val="auto"/>
          <w:szCs w:val="32"/>
          <w:lang w:val="zh-TW"/>
        </w:rPr>
        <w:t>”</w:t>
      </w:r>
      <w:r>
        <w:rPr>
          <w:rFonts w:hint="eastAsia"/>
          <w:b w:val="0"/>
          <w:bCs/>
          <w:color w:val="auto"/>
          <w:szCs w:val="32"/>
          <w:lang w:val="zh-TW" w:eastAsia="zh-TW"/>
        </w:rPr>
        <w:t>专项行动</w:t>
      </w:r>
      <w:r>
        <w:rPr>
          <w:rFonts w:hint="eastAsia"/>
          <w:b w:val="0"/>
          <w:bCs/>
          <w:color w:val="auto"/>
          <w:szCs w:val="32"/>
          <w:lang w:val="zh-TW" w:eastAsia="zh-CN"/>
        </w:rPr>
        <w:t>以来</w:t>
      </w:r>
      <w:r>
        <w:rPr>
          <w:rFonts w:hint="eastAsia"/>
          <w:b w:val="0"/>
          <w:bCs/>
          <w:color w:val="auto"/>
          <w:szCs w:val="32"/>
          <w:lang w:val="zh-TW" w:eastAsia="zh-TW"/>
        </w:rPr>
        <w:t>，</w:t>
      </w:r>
      <w:r>
        <w:rPr>
          <w:rFonts w:hint="eastAsia"/>
          <w:b w:val="0"/>
          <w:bCs/>
          <w:color w:val="auto"/>
          <w:szCs w:val="32"/>
        </w:rPr>
        <w:t>品牌培育成效明显。“猫哆哩”“宏斌”2件商标入列中国驰名商标；“玉林泉”“大龙口”“德春”“丫眯乐”等66件商标入列云南省著名商标；“菜家村”“万绿”“甜馨”“云曲坊”等87件商标入列玉溪市知名商标；“磨浆”“云冠”“高原王子”“丛山”等10个产品获云南名牌产品。“猫哆哩”“斯贝佳”“调鼎斋”“通海牌”“滇雪”“马老表”“玉林泉”“丛山”</w:t>
      </w:r>
      <w:r>
        <w:rPr>
          <w:rFonts w:hint="eastAsia"/>
          <w:b w:val="0"/>
          <w:bCs/>
          <w:color w:val="auto"/>
          <w:szCs w:val="32"/>
          <w:lang w:eastAsia="zh-CN"/>
        </w:rPr>
        <w:t>等</w:t>
      </w:r>
      <w:r>
        <w:rPr>
          <w:rFonts w:hint="eastAsia"/>
          <w:b w:val="0"/>
          <w:bCs/>
          <w:color w:val="auto"/>
          <w:szCs w:val="32"/>
        </w:rPr>
        <w:t>品牌已成为云南绿色食品制造业“名片”。</w:t>
      </w:r>
    </w:p>
    <w:p>
      <w:pPr>
        <w:pStyle w:val="5"/>
        <w:rPr>
          <w:b w:val="0"/>
          <w:bCs/>
          <w:szCs w:val="32"/>
        </w:rPr>
      </w:pPr>
      <w:bookmarkStart w:id="10" w:name="_Toc14029"/>
      <w:bookmarkStart w:id="11" w:name="_Toc21413"/>
      <w:r>
        <w:rPr>
          <w:b w:val="0"/>
          <w:bCs/>
        </w:rPr>
        <w:t>4. 企业</w:t>
      </w:r>
      <w:r>
        <w:rPr>
          <w:rFonts w:hint="eastAsia"/>
          <w:b w:val="0"/>
          <w:bCs/>
        </w:rPr>
        <w:t>培育成效显著</w:t>
      </w:r>
      <w:bookmarkEnd w:id="10"/>
      <w:bookmarkEnd w:id="11"/>
    </w:p>
    <w:p>
      <w:pPr>
        <w:ind w:firstLine="640"/>
        <w:rPr>
          <w:b w:val="0"/>
          <w:bCs/>
        </w:rPr>
      </w:pPr>
      <w:r>
        <w:rPr>
          <w:rFonts w:hint="eastAsia"/>
          <w:b w:val="0"/>
          <w:bCs/>
          <w:szCs w:val="22"/>
        </w:rPr>
        <w:t>截止2020年底，全市绿色食品制造企业销售收入过亿企业40家。云南</w:t>
      </w:r>
      <w:r>
        <w:rPr>
          <w:b w:val="0"/>
          <w:bCs/>
          <w:szCs w:val="32"/>
        </w:rPr>
        <w:t>滇雪粮油有限公司</w:t>
      </w:r>
      <w:r>
        <w:rPr>
          <w:rFonts w:hint="eastAsia"/>
          <w:b w:val="0"/>
          <w:bCs/>
          <w:szCs w:val="32"/>
        </w:rPr>
        <w:t>自2014年起连续蝉联中国食用油料加工企业50强、自2017年开始，连续荣登中国油菜籽加工企业10强榜。2018年云南省开展绿色食品“10强企业”和“20佳创新企业”评选活动以来，</w:t>
      </w:r>
      <w:r>
        <w:rPr>
          <w:b w:val="0"/>
          <w:bCs/>
          <w:szCs w:val="32"/>
        </w:rPr>
        <w:t>云南达利食品有限公司</w:t>
      </w:r>
      <w:r>
        <w:rPr>
          <w:rFonts w:hint="eastAsia"/>
          <w:b w:val="0"/>
          <w:bCs/>
          <w:szCs w:val="32"/>
        </w:rPr>
        <w:t>连续三年进入</w:t>
      </w:r>
      <w:r>
        <w:rPr>
          <w:b w:val="0"/>
          <w:bCs/>
          <w:szCs w:val="32"/>
        </w:rPr>
        <w:t>“云南省绿色食品10强企业”，</w:t>
      </w:r>
      <w:r>
        <w:rPr>
          <w:rFonts w:hint="eastAsia"/>
          <w:b w:val="0"/>
          <w:bCs/>
          <w:szCs w:val="32"/>
        </w:rPr>
        <w:t>位列前三，其中2019年排名第一；</w:t>
      </w:r>
      <w:r>
        <w:rPr>
          <w:b w:val="0"/>
          <w:bCs/>
          <w:szCs w:val="32"/>
        </w:rPr>
        <w:t>云南磨浆农业股份有限公司、云南万绿生物股份有限公司、云南猫哆哩集团食品有限责任公司</w:t>
      </w:r>
      <w:r>
        <w:rPr>
          <w:rFonts w:hint="eastAsia"/>
          <w:b w:val="0"/>
          <w:bCs/>
          <w:szCs w:val="32"/>
        </w:rPr>
        <w:t>、云南宏斌绿色食品集团有限公司、玉溪丫眯绿色休闲食品有限公司、通海高原农产品有限公司、云南省通海斯贝佳食品有限公司等7</w:t>
      </w:r>
      <w:r>
        <w:rPr>
          <w:b w:val="0"/>
          <w:bCs/>
          <w:szCs w:val="32"/>
        </w:rPr>
        <w:t>户企业</w:t>
      </w:r>
      <w:r>
        <w:rPr>
          <w:rFonts w:hint="eastAsia"/>
          <w:b w:val="0"/>
          <w:bCs/>
          <w:szCs w:val="32"/>
        </w:rPr>
        <w:t>进入</w:t>
      </w:r>
      <w:r>
        <w:rPr>
          <w:b w:val="0"/>
          <w:bCs/>
          <w:szCs w:val="32"/>
        </w:rPr>
        <w:t>“云南省绿色食品20佳创新企业”</w:t>
      </w:r>
      <w:r>
        <w:rPr>
          <w:rFonts w:hint="eastAsia"/>
          <w:b w:val="0"/>
          <w:bCs/>
          <w:szCs w:val="32"/>
        </w:rPr>
        <w:t>，其中2019年我市共有5家企业获得</w:t>
      </w:r>
      <w:r>
        <w:rPr>
          <w:b w:val="0"/>
          <w:bCs/>
          <w:szCs w:val="32"/>
        </w:rPr>
        <w:t>“云南省绿色食品20佳创新企业”</w:t>
      </w:r>
      <w:r>
        <w:rPr>
          <w:rFonts w:hint="eastAsia"/>
          <w:b w:val="0"/>
          <w:bCs/>
          <w:szCs w:val="32"/>
        </w:rPr>
        <w:t>，占云南省1/4，龙头企业培育成效明显。</w:t>
      </w:r>
    </w:p>
    <w:p>
      <w:pPr>
        <w:pStyle w:val="5"/>
        <w:rPr>
          <w:b w:val="0"/>
          <w:bCs/>
        </w:rPr>
      </w:pPr>
      <w:bookmarkStart w:id="12" w:name="_Toc5690"/>
      <w:bookmarkStart w:id="13" w:name="_Toc25857"/>
      <w:r>
        <w:rPr>
          <w:rFonts w:hint="eastAsia"/>
          <w:b w:val="0"/>
          <w:bCs/>
        </w:rPr>
        <w:t>5. 创新能力优化提升</w:t>
      </w:r>
      <w:bookmarkEnd w:id="12"/>
      <w:bookmarkEnd w:id="13"/>
    </w:p>
    <w:p>
      <w:pPr>
        <w:ind w:firstLine="640"/>
        <w:rPr>
          <w:b w:val="0"/>
          <w:bCs/>
          <w:szCs w:val="22"/>
        </w:rPr>
      </w:pPr>
      <w:r>
        <w:rPr>
          <w:b w:val="0"/>
          <w:bCs/>
          <w:szCs w:val="22"/>
        </w:rPr>
        <w:t>全市</w:t>
      </w:r>
      <w:r>
        <w:rPr>
          <w:rFonts w:hint="eastAsia"/>
          <w:b w:val="0"/>
          <w:bCs/>
          <w:szCs w:val="22"/>
        </w:rPr>
        <w:t>绿色食品制造业</w:t>
      </w:r>
      <w:r>
        <w:rPr>
          <w:b w:val="0"/>
          <w:bCs/>
          <w:szCs w:val="22"/>
        </w:rPr>
        <w:t>企业共有创新型试点企业39户，创新型企业21户，</w:t>
      </w:r>
      <w:r>
        <w:rPr>
          <w:rFonts w:hint="eastAsia"/>
          <w:b w:val="0"/>
          <w:bCs/>
          <w:szCs w:val="32"/>
        </w:rPr>
        <w:t>云南阳光食品有限公司</w:t>
      </w:r>
      <w:r>
        <w:rPr>
          <w:b w:val="0"/>
          <w:bCs/>
          <w:szCs w:val="32"/>
        </w:rPr>
        <w:t>、</w:t>
      </w:r>
      <w:r>
        <w:rPr>
          <w:rFonts w:hint="eastAsia"/>
          <w:b w:val="0"/>
          <w:bCs/>
          <w:szCs w:val="32"/>
        </w:rPr>
        <w:t>通海</w:t>
      </w:r>
      <w:r>
        <w:rPr>
          <w:b w:val="0"/>
          <w:bCs/>
          <w:szCs w:val="32"/>
        </w:rPr>
        <w:t>锦程蔬菜</w:t>
      </w:r>
      <w:r>
        <w:rPr>
          <w:rFonts w:hint="eastAsia"/>
          <w:b w:val="0"/>
          <w:bCs/>
          <w:szCs w:val="32"/>
        </w:rPr>
        <w:t>有限公司</w:t>
      </w:r>
      <w:r>
        <w:rPr>
          <w:b w:val="0"/>
          <w:bCs/>
          <w:szCs w:val="22"/>
        </w:rPr>
        <w:t>等19户企业入列高新技术企业。</w:t>
      </w:r>
      <w:r>
        <w:rPr>
          <w:b w:val="0"/>
          <w:bCs/>
        </w:rPr>
        <w:fldChar w:fldCharType="begin"/>
      </w:r>
      <w:r>
        <w:rPr>
          <w:b w:val="0"/>
          <w:bCs/>
        </w:rPr>
        <w:instrText xml:space="preserve"> HYPERLINK "https://shuidi.cn/company-c518102b1e756ae5dfd6f4a52b07a5e8.html?from_search=1" \t "https://shuidi.cn/_blank" </w:instrText>
      </w:r>
      <w:r>
        <w:rPr>
          <w:b w:val="0"/>
          <w:bCs/>
        </w:rPr>
        <w:fldChar w:fldCharType="separate"/>
      </w:r>
      <w:r>
        <w:rPr>
          <w:rFonts w:hint="eastAsia"/>
          <w:b w:val="0"/>
          <w:bCs/>
          <w:szCs w:val="32"/>
        </w:rPr>
        <w:t>云南省玉溪市甜馨食品有限责任公司</w:t>
      </w:r>
      <w:r>
        <w:rPr>
          <w:rFonts w:hint="eastAsia"/>
          <w:b w:val="0"/>
          <w:bCs/>
          <w:szCs w:val="32"/>
        </w:rPr>
        <w:fldChar w:fldCharType="end"/>
      </w:r>
      <w:r>
        <w:rPr>
          <w:rFonts w:hint="eastAsia"/>
          <w:b w:val="0"/>
          <w:bCs/>
          <w:szCs w:val="32"/>
        </w:rPr>
        <w:t>、云南宏斌绿色食品集团有限公司、玉溪滇雪粮油有限公司</w:t>
      </w:r>
      <w:r>
        <w:rPr>
          <w:b w:val="0"/>
          <w:bCs/>
          <w:szCs w:val="22"/>
        </w:rPr>
        <w:t>4户企业技术中心通过省级认定，</w:t>
      </w:r>
      <w:r>
        <w:rPr>
          <w:rFonts w:hint="eastAsia"/>
          <w:b w:val="0"/>
          <w:bCs/>
          <w:szCs w:val="32"/>
        </w:rPr>
        <w:t>云南省通海斯贝佳食品有限公司等</w:t>
      </w:r>
      <w:r>
        <w:rPr>
          <w:rFonts w:hint="eastAsia"/>
          <w:b w:val="0"/>
          <w:bCs/>
          <w:szCs w:val="22"/>
        </w:rPr>
        <w:t>13</w:t>
      </w:r>
      <w:r>
        <w:rPr>
          <w:b w:val="0"/>
          <w:bCs/>
          <w:szCs w:val="22"/>
        </w:rPr>
        <w:t>户企业技术中心通过市级认定，</w:t>
      </w:r>
      <w:r>
        <w:rPr>
          <w:rFonts w:hint="eastAsia"/>
          <w:b w:val="0"/>
          <w:bCs/>
          <w:szCs w:val="32"/>
        </w:rPr>
        <w:t>云南阳光食品有限公司、云南德春绿色食品有限公司</w:t>
      </w:r>
      <w:r>
        <w:rPr>
          <w:b w:val="0"/>
          <w:bCs/>
          <w:szCs w:val="22"/>
        </w:rPr>
        <w:t>等</w:t>
      </w:r>
      <w:r>
        <w:rPr>
          <w:rFonts w:hint="eastAsia"/>
          <w:b w:val="0"/>
          <w:bCs/>
          <w:szCs w:val="22"/>
        </w:rPr>
        <w:t>13</w:t>
      </w:r>
      <w:r>
        <w:rPr>
          <w:b w:val="0"/>
          <w:bCs/>
          <w:szCs w:val="22"/>
        </w:rPr>
        <w:t>户企业工程技术研究中心通过市级认定。</w:t>
      </w:r>
      <w:r>
        <w:rPr>
          <w:rFonts w:hint="eastAsia"/>
          <w:b w:val="0"/>
          <w:bCs/>
          <w:szCs w:val="32"/>
        </w:rPr>
        <w:t>云南贡润祥茶产业开发有限公司、云南江川卓一食品有限公司、</w:t>
      </w:r>
      <w:r>
        <w:rPr>
          <w:b w:val="0"/>
          <w:bCs/>
        </w:rPr>
        <w:fldChar w:fldCharType="begin"/>
      </w:r>
      <w:r>
        <w:rPr>
          <w:b w:val="0"/>
          <w:bCs/>
        </w:rPr>
        <w:instrText xml:space="preserve"> HYPERLINK "https://shuidi.cn/company-0c9a348be3fd84d98f3df24e5a78cade.html?from_search=1" \t "https://shuidi.cn/_blank" </w:instrText>
      </w:r>
      <w:r>
        <w:rPr>
          <w:b w:val="0"/>
          <w:bCs/>
        </w:rPr>
        <w:fldChar w:fldCharType="separate"/>
      </w:r>
      <w:r>
        <w:rPr>
          <w:rFonts w:hint="eastAsia"/>
          <w:b w:val="0"/>
          <w:bCs/>
          <w:szCs w:val="32"/>
        </w:rPr>
        <w:t>云南磨浆农业股份有限公司</w:t>
      </w:r>
      <w:r>
        <w:rPr>
          <w:rFonts w:hint="eastAsia"/>
          <w:b w:val="0"/>
          <w:bCs/>
          <w:szCs w:val="32"/>
        </w:rPr>
        <w:fldChar w:fldCharType="end"/>
      </w:r>
      <w:r>
        <w:rPr>
          <w:rFonts w:hint="eastAsia"/>
          <w:b w:val="0"/>
          <w:bCs/>
          <w:szCs w:val="32"/>
        </w:rPr>
        <w:t>、云南快大多畜牧科技有限公司</w:t>
      </w:r>
      <w:r>
        <w:rPr>
          <w:rFonts w:hint="eastAsia"/>
          <w:b w:val="0"/>
          <w:bCs/>
          <w:szCs w:val="22"/>
        </w:rPr>
        <w:t>4</w:t>
      </w:r>
      <w:r>
        <w:rPr>
          <w:b w:val="0"/>
          <w:bCs/>
          <w:szCs w:val="22"/>
        </w:rPr>
        <w:t>户企业建立了院士工作站，</w:t>
      </w:r>
      <w:r>
        <w:rPr>
          <w:rFonts w:hint="eastAsia"/>
          <w:b w:val="0"/>
          <w:bCs/>
          <w:szCs w:val="32"/>
        </w:rPr>
        <w:t>云南猫哆哩集团食品有限责任公司、玉溪滇雪粮油有限公司、</w:t>
      </w:r>
      <w:r>
        <w:rPr>
          <w:b w:val="0"/>
          <w:bCs/>
        </w:rPr>
        <w:fldChar w:fldCharType="begin"/>
      </w:r>
      <w:r>
        <w:rPr>
          <w:b w:val="0"/>
          <w:bCs/>
        </w:rPr>
        <w:instrText xml:space="preserve"> HYPERLINK "https://shuidi.cn/company-fbddb320b4885c6fb2f2519c52502801.html?from_search=1" \t "https://shuidi.cn/_blank" </w:instrText>
      </w:r>
      <w:r>
        <w:rPr>
          <w:b w:val="0"/>
          <w:bCs/>
        </w:rPr>
        <w:fldChar w:fldCharType="separate"/>
      </w:r>
      <w:r>
        <w:rPr>
          <w:rFonts w:hint="eastAsia"/>
          <w:b w:val="0"/>
          <w:bCs/>
          <w:szCs w:val="32"/>
        </w:rPr>
        <w:t>新平褚氏农业有限公司</w:t>
      </w:r>
      <w:r>
        <w:rPr>
          <w:rFonts w:hint="eastAsia"/>
          <w:b w:val="0"/>
          <w:bCs/>
          <w:szCs w:val="32"/>
        </w:rPr>
        <w:fldChar w:fldCharType="end"/>
      </w:r>
      <w:r>
        <w:rPr>
          <w:b w:val="0"/>
          <w:bCs/>
          <w:szCs w:val="22"/>
        </w:rPr>
        <w:t>3户企业建立了专家工作站。</w:t>
      </w:r>
    </w:p>
    <w:p>
      <w:pPr>
        <w:pStyle w:val="5"/>
        <w:rPr>
          <w:b w:val="0"/>
          <w:bCs/>
        </w:rPr>
      </w:pPr>
      <w:bookmarkStart w:id="14" w:name="_Toc18603"/>
      <w:bookmarkStart w:id="15" w:name="_Toc137"/>
      <w:r>
        <w:rPr>
          <w:rFonts w:hint="eastAsia"/>
          <w:b w:val="0"/>
          <w:bCs/>
        </w:rPr>
        <w:t>6</w:t>
      </w:r>
      <w:r>
        <w:rPr>
          <w:b w:val="0"/>
          <w:bCs/>
        </w:rPr>
        <w:t xml:space="preserve">. </w:t>
      </w:r>
      <w:r>
        <w:rPr>
          <w:rFonts w:hint="eastAsia"/>
          <w:b w:val="0"/>
          <w:bCs/>
        </w:rPr>
        <w:t>出口创汇大幅增加</w:t>
      </w:r>
      <w:bookmarkEnd w:id="14"/>
      <w:bookmarkEnd w:id="15"/>
    </w:p>
    <w:p>
      <w:pPr>
        <w:ind w:firstLine="640"/>
        <w:rPr>
          <w:b w:val="0"/>
          <w:bCs/>
        </w:rPr>
      </w:pPr>
      <w:r>
        <w:rPr>
          <w:rFonts w:hint="eastAsia"/>
          <w:b w:val="0"/>
          <w:bCs/>
        </w:rPr>
        <w:t>通过积极融入“一带一路”建设，我市绿色食品制造业对外贸易工作取得较大进展。</w:t>
      </w:r>
      <w:r>
        <w:rPr>
          <w:b w:val="0"/>
          <w:bCs/>
        </w:rPr>
        <w:t>蔬菜、水产加工制品</w:t>
      </w:r>
      <w:r>
        <w:rPr>
          <w:rFonts w:hint="eastAsia"/>
          <w:b w:val="0"/>
          <w:bCs/>
        </w:rPr>
        <w:t>、</w:t>
      </w:r>
      <w:r>
        <w:rPr>
          <w:b w:val="0"/>
          <w:bCs/>
        </w:rPr>
        <w:t>核果类温带水果</w:t>
      </w:r>
      <w:r>
        <w:rPr>
          <w:rFonts w:hint="eastAsia"/>
          <w:b w:val="0"/>
          <w:bCs/>
        </w:rPr>
        <w:t>、</w:t>
      </w:r>
      <w:r>
        <w:rPr>
          <w:b w:val="0"/>
          <w:bCs/>
        </w:rPr>
        <w:t>肉制品</w:t>
      </w:r>
      <w:r>
        <w:rPr>
          <w:rFonts w:hint="eastAsia"/>
          <w:b w:val="0"/>
          <w:bCs/>
        </w:rPr>
        <w:t>、</w:t>
      </w:r>
      <w:r>
        <w:rPr>
          <w:b w:val="0"/>
          <w:bCs/>
        </w:rPr>
        <w:t>粮油加工产品等成为</w:t>
      </w:r>
      <w:r>
        <w:rPr>
          <w:rFonts w:hint="eastAsia"/>
          <w:b w:val="0"/>
          <w:bCs/>
        </w:rPr>
        <w:t>绿色食品制造业</w:t>
      </w:r>
      <w:r>
        <w:rPr>
          <w:b w:val="0"/>
          <w:bCs/>
        </w:rPr>
        <w:t>中出省、出口的外向型主流产品</w:t>
      </w:r>
      <w:r>
        <w:rPr>
          <w:rFonts w:hint="eastAsia"/>
          <w:b w:val="0"/>
          <w:bCs/>
        </w:rPr>
        <w:t>，已</w:t>
      </w:r>
      <w:r>
        <w:rPr>
          <w:b w:val="0"/>
          <w:bCs/>
        </w:rPr>
        <w:t>建成中国重要的外销出口蔬菜基地和备案登记地。</w:t>
      </w:r>
      <w:r>
        <w:rPr>
          <w:rFonts w:hint="eastAsia"/>
          <w:b w:val="0"/>
          <w:bCs/>
        </w:rPr>
        <w:t>通海县蔬菜除了销往北京、广州等城市外，还出口到</w:t>
      </w:r>
      <w:r>
        <w:rPr>
          <w:b w:val="0"/>
          <w:bCs/>
        </w:rPr>
        <w:t>柬埔寨、泰国、越南、老挝、马来西亚</w:t>
      </w:r>
      <w:r>
        <w:rPr>
          <w:rFonts w:hint="eastAsia"/>
          <w:b w:val="0"/>
          <w:bCs/>
        </w:rPr>
        <w:t>、韩国、日本</w:t>
      </w:r>
      <w:r>
        <w:rPr>
          <w:b w:val="0"/>
          <w:bCs/>
        </w:rPr>
        <w:t>等</w:t>
      </w:r>
      <w:r>
        <w:rPr>
          <w:rFonts w:hint="eastAsia"/>
          <w:b w:val="0"/>
          <w:bCs/>
        </w:rPr>
        <w:t>国家，出口品种及出口数量明显增加，出口质量明显提高。野生菌罐头、脱水蔬菜、生态泡菜等逐步获得日本、韩国、中国台湾等市场青睐。</w:t>
      </w:r>
    </w:p>
    <w:p>
      <w:pPr>
        <w:pStyle w:val="5"/>
        <w:rPr>
          <w:b w:val="0"/>
          <w:bCs/>
        </w:rPr>
      </w:pPr>
      <w:bookmarkStart w:id="16" w:name="_Toc28094"/>
      <w:bookmarkStart w:id="17" w:name="_Toc29367"/>
      <w:r>
        <w:rPr>
          <w:rFonts w:hint="eastAsia"/>
          <w:b w:val="0"/>
          <w:bCs/>
        </w:rPr>
        <w:t>7</w:t>
      </w:r>
      <w:r>
        <w:rPr>
          <w:b w:val="0"/>
          <w:bCs/>
        </w:rPr>
        <w:t xml:space="preserve">. </w:t>
      </w:r>
      <w:r>
        <w:rPr>
          <w:rFonts w:hint="eastAsia"/>
          <w:b w:val="0"/>
          <w:bCs/>
        </w:rPr>
        <w:t>产业带动效应突出</w:t>
      </w:r>
      <w:bookmarkEnd w:id="16"/>
      <w:bookmarkEnd w:id="17"/>
    </w:p>
    <w:p>
      <w:pPr>
        <w:pStyle w:val="10"/>
        <w:ind w:left="0" w:leftChars="0" w:firstLine="0" w:firstLineChars="0"/>
        <w:rPr>
          <w:rFonts w:hint="eastAsia" w:eastAsia="仿宋"/>
          <w:b w:val="0"/>
          <w:bCs/>
          <w:lang w:val="en-US" w:eastAsia="zh-CN"/>
        </w:rPr>
      </w:pPr>
      <w:r>
        <w:rPr>
          <w:rFonts w:hint="eastAsia"/>
          <w:b w:val="0"/>
          <w:bCs/>
          <w:szCs w:val="22"/>
        </w:rPr>
        <w:t xml:space="preserve">   </w:t>
      </w:r>
      <w:r>
        <w:rPr>
          <w:rFonts w:hint="eastAsia"/>
          <w:b w:val="0"/>
          <w:bCs/>
        </w:rPr>
        <w:t>采用“公司+基地+合作社+农户”的模式发展，</w:t>
      </w:r>
      <w:r>
        <w:rPr>
          <w:rFonts w:hint="eastAsia"/>
          <w:b w:val="0"/>
          <w:bCs/>
          <w:lang w:val="en-US" w:eastAsia="zh-CN"/>
        </w:rPr>
        <w:t>我市</w:t>
      </w:r>
      <w:r>
        <w:rPr>
          <w:rFonts w:hint="eastAsia"/>
          <w:b w:val="0"/>
          <w:bCs/>
        </w:rPr>
        <w:t>在带动种植基地建设、高原特色农业发展和助力脱贫攻坚等方面作用明显，产业带动效应突出。5年来绿色食品制造业共带动玉溪市内建设蔬菜、水果、花卉种植基地上万亩，带动农户增收和就业，缓解了就业压力。部分企业“走出去”到市外建设种植基地，</w:t>
      </w:r>
      <w:r>
        <w:rPr>
          <w:rFonts w:hint="eastAsia"/>
          <w:b w:val="0"/>
          <w:bCs/>
          <w:szCs w:val="32"/>
        </w:rPr>
        <w:t>云南宏斌绿色食品集团有限公司、云南阳光食品有限公司</w:t>
      </w:r>
      <w:r>
        <w:rPr>
          <w:rFonts w:hint="eastAsia"/>
          <w:b w:val="0"/>
          <w:bCs/>
        </w:rPr>
        <w:t>等企业在楚雄州建立了小米辣种植基地，</w:t>
      </w:r>
      <w:r>
        <w:rPr>
          <w:rFonts w:hint="eastAsia"/>
          <w:b w:val="0"/>
          <w:bCs/>
          <w:szCs w:val="32"/>
        </w:rPr>
        <w:t>云南德春绿色食品有限公司</w:t>
      </w:r>
      <w:r>
        <w:rPr>
          <w:rFonts w:hint="eastAsia"/>
          <w:b w:val="0"/>
          <w:bCs/>
        </w:rPr>
        <w:t>在武汉建立了莲藕种植基地</w:t>
      </w:r>
      <w:r>
        <w:rPr>
          <w:rFonts w:hint="eastAsia"/>
          <w:b w:val="0"/>
          <w:bCs/>
          <w:lang w:eastAsia="zh-CN"/>
        </w:rPr>
        <w:t>。</w:t>
      </w:r>
    </w:p>
    <w:p>
      <w:pPr>
        <w:pStyle w:val="4"/>
        <w:rPr>
          <w:b w:val="0"/>
          <w:bCs/>
          <w:color w:val="auto"/>
        </w:rPr>
      </w:pPr>
      <w:bookmarkStart w:id="18" w:name="_Toc26705"/>
      <w:r>
        <w:rPr>
          <w:rFonts w:hint="eastAsia"/>
          <w:b w:val="0"/>
          <w:bCs/>
          <w:color w:val="auto"/>
        </w:rPr>
        <w:t>（三）“十三五”期间产业发展</w:t>
      </w:r>
      <w:r>
        <w:rPr>
          <w:b w:val="0"/>
          <w:bCs/>
          <w:color w:val="auto"/>
        </w:rPr>
        <w:t>存在问题</w:t>
      </w:r>
      <w:bookmarkEnd w:id="18"/>
    </w:p>
    <w:p>
      <w:pPr>
        <w:ind w:firstLine="640"/>
        <w:rPr>
          <w:b w:val="0"/>
          <w:bCs/>
        </w:rPr>
      </w:pPr>
      <w:r>
        <w:rPr>
          <w:rFonts w:hint="eastAsia"/>
          <w:b w:val="0"/>
          <w:bCs/>
        </w:rPr>
        <w:t>我市绿色食品制造业虽然有一定基础，但仍存在着一些突出的矛盾和问题，与国内大循环、国际国内双循环要求和高质量发展要求还有较大差距，与我省打造世界一流绿色食品牌的要求存在一定差距。</w:t>
      </w:r>
    </w:p>
    <w:p>
      <w:pPr>
        <w:pStyle w:val="5"/>
        <w:rPr>
          <w:b w:val="0"/>
          <w:bCs/>
        </w:rPr>
      </w:pPr>
      <w:bookmarkStart w:id="19" w:name="_Toc7341"/>
      <w:bookmarkStart w:id="20" w:name="_Toc5061"/>
      <w:r>
        <w:rPr>
          <w:rFonts w:hint="eastAsia"/>
          <w:b w:val="0"/>
          <w:bCs/>
        </w:rPr>
        <w:t>1. 产业规模总量不大</w:t>
      </w:r>
      <w:bookmarkEnd w:id="19"/>
      <w:bookmarkEnd w:id="20"/>
    </w:p>
    <w:p>
      <w:pPr>
        <w:ind w:firstLine="640"/>
        <w:rPr>
          <w:b w:val="0"/>
          <w:bCs/>
        </w:rPr>
      </w:pPr>
      <w:r>
        <w:rPr>
          <w:rFonts w:hint="eastAsia"/>
          <w:b w:val="0"/>
          <w:bCs/>
        </w:rPr>
        <w:t>2020年我市规模以上绿色食品制造业总产值</w:t>
      </w:r>
      <w:r>
        <w:rPr>
          <w:rFonts w:hint="eastAsia"/>
          <w:b w:val="0"/>
          <w:bCs/>
          <w:szCs w:val="32"/>
        </w:rPr>
        <w:t>仅占全市规模以上工业总产值的7.1%、增加值占3.3%，</w:t>
      </w:r>
      <w:r>
        <w:rPr>
          <w:rFonts w:hint="eastAsia"/>
          <w:b w:val="0"/>
          <w:bCs/>
        </w:rPr>
        <w:t>比重较小。</w:t>
      </w:r>
    </w:p>
    <w:p>
      <w:pPr>
        <w:pStyle w:val="5"/>
        <w:rPr>
          <w:b w:val="0"/>
          <w:bCs/>
          <w:szCs w:val="22"/>
        </w:rPr>
      </w:pPr>
      <w:bookmarkStart w:id="21" w:name="_Toc27514"/>
      <w:bookmarkStart w:id="22" w:name="_Toc23185"/>
      <w:r>
        <w:rPr>
          <w:rFonts w:hint="eastAsia"/>
          <w:b w:val="0"/>
          <w:bCs/>
          <w:szCs w:val="22"/>
        </w:rPr>
        <w:t>2. 龙头企业占比较小</w:t>
      </w:r>
      <w:bookmarkEnd w:id="21"/>
      <w:bookmarkEnd w:id="22"/>
    </w:p>
    <w:p>
      <w:pPr>
        <w:ind w:firstLine="640"/>
        <w:rPr>
          <w:b w:val="0"/>
          <w:bCs/>
        </w:rPr>
      </w:pPr>
      <w:r>
        <w:rPr>
          <w:rFonts w:hint="eastAsia"/>
          <w:b w:val="0"/>
          <w:bCs/>
        </w:rPr>
        <w:t>我市龙头企业占比较小，辐射带动能力不强。全</w:t>
      </w:r>
      <w:r>
        <w:rPr>
          <w:b w:val="0"/>
          <w:bCs/>
        </w:rPr>
        <w:t>市</w:t>
      </w:r>
      <w:r>
        <w:rPr>
          <w:rFonts w:hint="eastAsia"/>
          <w:b w:val="0"/>
          <w:bCs/>
        </w:rPr>
        <w:t>年销售收入100万元以上绿色食品制造业</w:t>
      </w:r>
      <w:r>
        <w:rPr>
          <w:b w:val="0"/>
          <w:bCs/>
        </w:rPr>
        <w:t>企业共计13</w:t>
      </w:r>
      <w:r>
        <w:rPr>
          <w:rFonts w:hint="eastAsia"/>
          <w:b w:val="0"/>
          <w:bCs/>
        </w:rPr>
        <w:t>5</w:t>
      </w:r>
      <w:r>
        <w:rPr>
          <w:b w:val="0"/>
          <w:bCs/>
        </w:rPr>
        <w:t>户，规模以上企业只有</w:t>
      </w:r>
      <w:r>
        <w:rPr>
          <w:rFonts w:hint="eastAsia"/>
          <w:b w:val="0"/>
          <w:bCs/>
        </w:rPr>
        <w:t>72</w:t>
      </w:r>
      <w:r>
        <w:rPr>
          <w:b w:val="0"/>
          <w:bCs/>
        </w:rPr>
        <w:t>户，年销售收入10亿元以上的</w:t>
      </w:r>
      <w:r>
        <w:rPr>
          <w:rFonts w:hint="eastAsia"/>
          <w:b w:val="0"/>
          <w:bCs/>
        </w:rPr>
        <w:t>仅</w:t>
      </w:r>
      <w:r>
        <w:rPr>
          <w:b w:val="0"/>
          <w:bCs/>
        </w:rPr>
        <w:t>有玉溪滇雪粮油有限公司、云南达利食品有限公司、</w:t>
      </w:r>
      <w:r>
        <w:rPr>
          <w:rFonts w:hint="eastAsia"/>
          <w:b w:val="0"/>
          <w:bCs/>
          <w:szCs w:val="32"/>
        </w:rPr>
        <w:t>云南云菜集团</w:t>
      </w:r>
      <w:r>
        <w:rPr>
          <w:b w:val="0"/>
          <w:bCs/>
        </w:rPr>
        <w:t>3户，上亿元的企业有</w:t>
      </w:r>
      <w:r>
        <w:rPr>
          <w:rFonts w:hint="eastAsia"/>
          <w:b w:val="0"/>
          <w:bCs/>
        </w:rPr>
        <w:t>40</w:t>
      </w:r>
      <w:r>
        <w:rPr>
          <w:b w:val="0"/>
          <w:bCs/>
        </w:rPr>
        <w:t>户，占</w:t>
      </w:r>
      <w:r>
        <w:rPr>
          <w:rFonts w:hint="eastAsia"/>
          <w:b w:val="0"/>
          <w:bCs/>
        </w:rPr>
        <w:t>绿色食品制造业</w:t>
      </w:r>
      <w:r>
        <w:rPr>
          <w:b w:val="0"/>
          <w:bCs/>
        </w:rPr>
        <w:t>企业总数的29</w:t>
      </w:r>
      <w:r>
        <w:rPr>
          <w:rFonts w:hint="eastAsia"/>
          <w:b w:val="0"/>
          <w:bCs/>
        </w:rPr>
        <w:t>.6</w:t>
      </w:r>
      <w:r>
        <w:rPr>
          <w:b w:val="0"/>
          <w:bCs/>
        </w:rPr>
        <w:t>%。与</w:t>
      </w:r>
      <w:r>
        <w:rPr>
          <w:rFonts w:hint="eastAsia"/>
          <w:b w:val="0"/>
          <w:bCs/>
        </w:rPr>
        <w:t>国</w:t>
      </w:r>
      <w:r>
        <w:rPr>
          <w:b w:val="0"/>
          <w:bCs/>
        </w:rPr>
        <w:t>内主要食品产业集聚地相比，我市不仅缺少著名食品企业，在省内拥有很高知名度和市场占有率的大型</w:t>
      </w:r>
      <w:r>
        <w:rPr>
          <w:rFonts w:hint="eastAsia"/>
          <w:b w:val="0"/>
          <w:bCs/>
        </w:rPr>
        <w:t>绿色食品制造</w:t>
      </w:r>
      <w:r>
        <w:rPr>
          <w:b w:val="0"/>
          <w:bCs/>
        </w:rPr>
        <w:t>企业也较少</w:t>
      </w:r>
      <w:r>
        <w:rPr>
          <w:rFonts w:hint="eastAsia"/>
          <w:b w:val="0"/>
          <w:bCs/>
        </w:rPr>
        <w:t>。</w:t>
      </w:r>
    </w:p>
    <w:p>
      <w:pPr>
        <w:pStyle w:val="5"/>
        <w:rPr>
          <w:b w:val="0"/>
          <w:bCs/>
        </w:rPr>
      </w:pPr>
      <w:bookmarkStart w:id="23" w:name="_Toc8420"/>
      <w:bookmarkStart w:id="24" w:name="_Toc29468"/>
      <w:r>
        <w:rPr>
          <w:rFonts w:hint="eastAsia"/>
          <w:b w:val="0"/>
          <w:bCs/>
        </w:rPr>
        <w:t>3. 高附加值产品较少</w:t>
      </w:r>
      <w:bookmarkEnd w:id="23"/>
      <w:bookmarkEnd w:id="24"/>
    </w:p>
    <w:p>
      <w:pPr>
        <w:ind w:firstLine="640"/>
        <w:rPr>
          <w:b w:val="0"/>
          <w:bCs/>
        </w:rPr>
      </w:pPr>
      <w:r>
        <w:rPr>
          <w:rFonts w:hint="eastAsia"/>
          <w:b w:val="0"/>
          <w:bCs/>
        </w:rPr>
        <w:t>我市绿色食品制造业</w:t>
      </w:r>
      <w:r>
        <w:rPr>
          <w:b w:val="0"/>
          <w:bCs/>
        </w:rPr>
        <w:t>产业链短、产品结构不优，原料型产品多，精深加工和高附加值产品少，初</w:t>
      </w:r>
      <w:r>
        <w:rPr>
          <w:b w:val="0"/>
          <w:bCs/>
          <w:color w:val="auto"/>
        </w:rPr>
        <w:t>加工低</w:t>
      </w:r>
      <w:r>
        <w:rPr>
          <w:rFonts w:hint="eastAsia"/>
          <w:b w:val="0"/>
          <w:bCs/>
          <w:color w:val="auto"/>
        </w:rPr>
        <w:t>附加</w:t>
      </w:r>
      <w:r>
        <w:rPr>
          <w:b w:val="0"/>
          <w:bCs/>
          <w:color w:val="auto"/>
        </w:rPr>
        <w:t>值产</w:t>
      </w:r>
      <w:r>
        <w:rPr>
          <w:b w:val="0"/>
          <w:bCs/>
        </w:rPr>
        <w:t>品多，绿色、有</w:t>
      </w:r>
      <w:r>
        <w:rPr>
          <w:b w:val="0"/>
          <w:bCs/>
          <w:color w:val="auto"/>
        </w:rPr>
        <w:t>机特色产品少。产品品种花色少、档次低、包装差，更新换代慢。</w:t>
      </w:r>
      <w:r>
        <w:rPr>
          <w:rFonts w:hint="eastAsia"/>
          <w:b w:val="0"/>
          <w:bCs/>
          <w:color w:val="auto"/>
        </w:rPr>
        <w:t>蔬菜、水果等产品大多数只经过初级分拣后即</w:t>
      </w:r>
      <w:r>
        <w:rPr>
          <w:rFonts w:hint="eastAsia"/>
          <w:b w:val="0"/>
          <w:bCs/>
        </w:rPr>
        <w:t>进行销售，未进行精深加工，产业链不长，低端产品较多。</w:t>
      </w:r>
      <w:r>
        <w:rPr>
          <w:b w:val="0"/>
          <w:bCs/>
        </w:rPr>
        <w:t>一些具有比较优势或特色的产品，未能转化为产业优势。</w:t>
      </w:r>
      <w:r>
        <w:rPr>
          <w:rFonts w:hint="eastAsia"/>
          <w:b w:val="0"/>
          <w:bCs/>
        </w:rPr>
        <w:t>2020年预计全市农产品加工业产值930亿元左右（含卷烟），比上年增1%，农产品加工产值与农业总产值之比3:1，</w:t>
      </w:r>
      <w:r>
        <w:rPr>
          <w:b w:val="0"/>
          <w:bCs/>
        </w:rPr>
        <w:t>高于全省平均水平</w:t>
      </w:r>
      <w:r>
        <w:rPr>
          <w:rFonts w:hint="eastAsia"/>
          <w:b w:val="0"/>
          <w:bCs/>
        </w:rPr>
        <w:t>，但远低于全国水平</w:t>
      </w:r>
      <w:r>
        <w:rPr>
          <w:b w:val="0"/>
          <w:bCs/>
        </w:rPr>
        <w:t>。</w:t>
      </w:r>
      <w:r>
        <w:rPr>
          <w:rFonts w:hint="eastAsia"/>
          <w:b w:val="0"/>
          <w:bCs/>
        </w:rPr>
        <w:t>我市绿色食品制造资源利用效率</w:t>
      </w:r>
      <w:r>
        <w:rPr>
          <w:rFonts w:hint="eastAsia"/>
          <w:b w:val="0"/>
          <w:bCs/>
          <w:lang w:eastAsia="zh-CN"/>
        </w:rPr>
        <w:t>和</w:t>
      </w:r>
      <w:r>
        <w:rPr>
          <w:rFonts w:hint="eastAsia"/>
          <w:b w:val="0"/>
          <w:bCs/>
        </w:rPr>
        <w:t>技术含量不高，</w:t>
      </w:r>
      <w:r>
        <w:rPr>
          <w:b w:val="0"/>
          <w:bCs/>
        </w:rPr>
        <w:t>农产品初加工、精深加工和综合利用加工发展不充分不平衡。</w:t>
      </w:r>
    </w:p>
    <w:p>
      <w:pPr>
        <w:pStyle w:val="5"/>
        <w:rPr>
          <w:b w:val="0"/>
          <w:bCs/>
        </w:rPr>
      </w:pPr>
      <w:bookmarkStart w:id="25" w:name="_Toc23347"/>
      <w:bookmarkStart w:id="26" w:name="_Toc32327"/>
      <w:r>
        <w:rPr>
          <w:rFonts w:hint="eastAsia"/>
          <w:b w:val="0"/>
          <w:bCs/>
        </w:rPr>
        <w:t>4. 企业创新能力不足</w:t>
      </w:r>
      <w:bookmarkEnd w:id="25"/>
      <w:bookmarkEnd w:id="26"/>
    </w:p>
    <w:p>
      <w:pPr>
        <w:ind w:firstLine="640"/>
        <w:rPr>
          <w:b w:val="0"/>
          <w:bCs/>
        </w:rPr>
      </w:pPr>
      <w:r>
        <w:rPr>
          <w:rFonts w:hint="eastAsia"/>
          <w:b w:val="0"/>
          <w:bCs/>
        </w:rPr>
        <w:t>我市</w:t>
      </w:r>
      <w:r>
        <w:rPr>
          <w:b w:val="0"/>
          <w:bCs/>
        </w:rPr>
        <w:t>大多数食品企业</w:t>
      </w:r>
      <w:r>
        <w:rPr>
          <w:rFonts w:hint="eastAsia"/>
          <w:b w:val="0"/>
          <w:bCs/>
        </w:rPr>
        <w:t>投入新产品、新技术、新工艺开发的意愿不迫切，造成行业生产技术水平低下，</w:t>
      </w:r>
      <w:r>
        <w:rPr>
          <w:b w:val="0"/>
          <w:bCs/>
        </w:rPr>
        <w:t>生产设备落后，</w:t>
      </w:r>
      <w:r>
        <w:rPr>
          <w:rFonts w:hint="eastAsia"/>
          <w:b w:val="0"/>
          <w:bCs/>
        </w:rPr>
        <w:t>自动化水平较低、</w:t>
      </w:r>
      <w:r>
        <w:rPr>
          <w:b w:val="0"/>
          <w:bCs/>
        </w:rPr>
        <w:t>物耗能耗偏高</w:t>
      </w:r>
      <w:r>
        <w:rPr>
          <w:rFonts w:hint="eastAsia"/>
          <w:b w:val="0"/>
          <w:bCs/>
        </w:rPr>
        <w:t>、</w:t>
      </w:r>
      <w:r>
        <w:rPr>
          <w:b w:val="0"/>
          <w:bCs/>
        </w:rPr>
        <w:t>创新能力</w:t>
      </w:r>
      <w:r>
        <w:rPr>
          <w:rFonts w:hint="eastAsia"/>
          <w:b w:val="0"/>
          <w:bCs/>
        </w:rPr>
        <w:t>不足等问题。同时企业缺乏</w:t>
      </w:r>
      <w:r>
        <w:rPr>
          <w:b w:val="0"/>
          <w:bCs/>
          <w:color w:val="auto"/>
        </w:rPr>
        <w:t>高级</w:t>
      </w:r>
      <w:r>
        <w:rPr>
          <w:rFonts w:hint="eastAsia"/>
          <w:b w:val="0"/>
          <w:bCs/>
          <w:color w:val="auto"/>
        </w:rPr>
        <w:t>经营</w:t>
      </w:r>
      <w:r>
        <w:rPr>
          <w:b w:val="0"/>
          <w:bCs/>
          <w:color w:val="auto"/>
        </w:rPr>
        <w:t>管理</w:t>
      </w:r>
      <w:r>
        <w:rPr>
          <w:b w:val="0"/>
          <w:bCs/>
        </w:rPr>
        <w:t>人才、技术人才和高级技术工人，人才培养投入较少</w:t>
      </w:r>
      <w:r>
        <w:rPr>
          <w:rFonts w:hint="eastAsia"/>
          <w:b w:val="0"/>
          <w:bCs/>
        </w:rPr>
        <w:t>。全市仅有4户食品企业获得省级企业技术中心认定，占全部食品企业的3%；19户高新技术企业，占全部食品企业的14%，创新型企业较少，导致整个行业的技术创新水平较低。大多数产品包装创新不足，很难吸引消费者眼球，新产品开发不足，缺乏引领消费的新产品，整个行业呈现</w:t>
      </w:r>
      <w:r>
        <w:rPr>
          <w:b w:val="0"/>
          <w:bCs/>
        </w:rPr>
        <w:t>产品种类少</w:t>
      </w:r>
      <w:r>
        <w:rPr>
          <w:rFonts w:hint="eastAsia"/>
          <w:b w:val="0"/>
          <w:bCs/>
        </w:rPr>
        <w:t>、</w:t>
      </w:r>
      <w:r>
        <w:rPr>
          <w:b w:val="0"/>
          <w:bCs/>
        </w:rPr>
        <w:t>产品雷同、档次偏低</w:t>
      </w:r>
      <w:r>
        <w:rPr>
          <w:rFonts w:hint="eastAsia"/>
          <w:b w:val="0"/>
          <w:bCs/>
        </w:rPr>
        <w:t>、</w:t>
      </w:r>
      <w:r>
        <w:rPr>
          <w:b w:val="0"/>
          <w:bCs/>
        </w:rPr>
        <w:t>技术含量不高</w:t>
      </w:r>
      <w:r>
        <w:rPr>
          <w:rFonts w:hint="eastAsia"/>
          <w:b w:val="0"/>
          <w:bCs/>
        </w:rPr>
        <w:t>、</w:t>
      </w:r>
      <w:r>
        <w:rPr>
          <w:b w:val="0"/>
          <w:bCs/>
        </w:rPr>
        <w:t>竞争力弱</w:t>
      </w:r>
      <w:r>
        <w:rPr>
          <w:rFonts w:hint="eastAsia"/>
          <w:b w:val="0"/>
          <w:bCs/>
        </w:rPr>
        <w:t>的现象</w:t>
      </w:r>
      <w:r>
        <w:rPr>
          <w:b w:val="0"/>
          <w:bCs/>
        </w:rPr>
        <w:t>。</w:t>
      </w:r>
    </w:p>
    <w:p>
      <w:pPr>
        <w:pStyle w:val="5"/>
        <w:rPr>
          <w:b w:val="0"/>
          <w:bCs/>
          <w:szCs w:val="22"/>
        </w:rPr>
      </w:pPr>
      <w:bookmarkStart w:id="27" w:name="_Toc15360"/>
      <w:bookmarkStart w:id="28" w:name="_Toc11299"/>
      <w:r>
        <w:rPr>
          <w:rFonts w:hint="eastAsia"/>
          <w:b w:val="0"/>
          <w:bCs/>
          <w:szCs w:val="22"/>
        </w:rPr>
        <w:t>5. 优质原料基地建设滞后</w:t>
      </w:r>
      <w:bookmarkEnd w:id="27"/>
      <w:bookmarkEnd w:id="28"/>
    </w:p>
    <w:p>
      <w:pPr>
        <w:ind w:firstLine="640"/>
        <w:rPr>
          <w:b w:val="0"/>
          <w:bCs/>
        </w:rPr>
      </w:pPr>
      <w:r>
        <w:rPr>
          <w:rFonts w:hint="eastAsia"/>
          <w:b w:val="0"/>
          <w:bCs/>
        </w:rPr>
        <w:t>大多数绿色食品制造龙头企业虽然建有原料基地，但是优质原料基地建设进展缓慢，</w:t>
      </w:r>
      <w:r>
        <w:rPr>
          <w:rFonts w:hint="eastAsia"/>
          <w:b w:val="0"/>
          <w:bCs/>
          <w:szCs w:val="32"/>
        </w:rPr>
        <w:t>玉溪滇雪粮油有限公司</w:t>
      </w:r>
      <w:r>
        <w:rPr>
          <w:rFonts w:hint="eastAsia"/>
          <w:b w:val="0"/>
          <w:bCs/>
        </w:rPr>
        <w:t>等粮油加工企业建设原料基地的规模较小，大部分原料需要外购。蔬菜加工企业几乎无蔬菜种植基地，原料大多来源于农户种植蔬菜，企业无法把控原材料的质量。</w:t>
      </w:r>
      <w:r>
        <w:rPr>
          <w:b w:val="0"/>
          <w:bCs/>
        </w:rPr>
        <w:t>绝大多数</w:t>
      </w:r>
      <w:r>
        <w:rPr>
          <w:rFonts w:hint="eastAsia"/>
          <w:b w:val="0"/>
          <w:bCs/>
        </w:rPr>
        <w:t>绿色食品制造</w:t>
      </w:r>
      <w:r>
        <w:rPr>
          <w:b w:val="0"/>
          <w:bCs/>
        </w:rPr>
        <w:t>企业缺乏配套的原料生产基地，缺乏必要的仓储和物流设施，原料价格和质量不稳定，供应保障程度低，原料供求结构性失衡问题</w:t>
      </w:r>
      <w:r>
        <w:rPr>
          <w:rFonts w:hint="eastAsia"/>
          <w:b w:val="0"/>
          <w:bCs/>
        </w:rPr>
        <w:t>突出</w:t>
      </w:r>
      <w:r>
        <w:rPr>
          <w:b w:val="0"/>
          <w:bCs/>
        </w:rPr>
        <w:t>，优质化、专用化、多元化原料发展相对滞后</w:t>
      </w:r>
      <w:r>
        <w:rPr>
          <w:rFonts w:hint="eastAsia"/>
          <w:b w:val="0"/>
          <w:bCs/>
        </w:rPr>
        <w:t>。</w:t>
      </w:r>
    </w:p>
    <w:p>
      <w:pPr>
        <w:pStyle w:val="3"/>
        <w:ind w:firstLine="723"/>
        <w:rPr>
          <w:b w:val="0"/>
          <w:bCs/>
        </w:rPr>
      </w:pPr>
      <w:bookmarkStart w:id="29" w:name="_Toc681"/>
      <w:r>
        <w:rPr>
          <w:rFonts w:hint="eastAsia"/>
          <w:b w:val="0"/>
          <w:bCs/>
        </w:rPr>
        <w:t>二、</w:t>
      </w:r>
      <w:r>
        <w:rPr>
          <w:b w:val="0"/>
          <w:bCs/>
        </w:rPr>
        <w:t>“十四五”</w:t>
      </w:r>
      <w:r>
        <w:rPr>
          <w:rFonts w:hint="eastAsia"/>
          <w:b w:val="0"/>
          <w:bCs/>
        </w:rPr>
        <w:t>绿色食品制造业</w:t>
      </w:r>
      <w:r>
        <w:rPr>
          <w:b w:val="0"/>
          <w:bCs/>
        </w:rPr>
        <w:t>发展</w:t>
      </w:r>
      <w:r>
        <w:rPr>
          <w:rFonts w:hint="eastAsia"/>
          <w:b w:val="0"/>
          <w:bCs/>
        </w:rPr>
        <w:t>的机遇和挑战</w:t>
      </w:r>
      <w:bookmarkEnd w:id="29"/>
    </w:p>
    <w:p>
      <w:pPr>
        <w:pStyle w:val="4"/>
        <w:rPr>
          <w:b w:val="0"/>
          <w:bCs/>
        </w:rPr>
      </w:pPr>
      <w:bookmarkStart w:id="30" w:name="_Toc2112"/>
      <w:r>
        <w:rPr>
          <w:rFonts w:hint="eastAsia"/>
          <w:b w:val="0"/>
          <w:bCs/>
        </w:rPr>
        <w:t>（一）面临的机遇</w:t>
      </w:r>
      <w:bookmarkEnd w:id="30"/>
    </w:p>
    <w:p>
      <w:pPr>
        <w:rPr>
          <w:b w:val="0"/>
          <w:bCs/>
        </w:rPr>
      </w:pPr>
      <w:r>
        <w:rPr>
          <w:rFonts w:hint="eastAsia"/>
          <w:b w:val="0"/>
          <w:bCs/>
        </w:rPr>
        <w:t>一是“双循环”及</w:t>
      </w:r>
      <w:r>
        <w:rPr>
          <w:rFonts w:hint="eastAsia"/>
          <w:b w:val="0"/>
          <w:bCs/>
          <w:szCs w:val="22"/>
        </w:rPr>
        <w:t>RCEP</w:t>
      </w:r>
      <w:r>
        <w:rPr>
          <w:rFonts w:hint="eastAsia"/>
          <w:b w:val="0"/>
          <w:bCs/>
          <w:szCs w:val="22"/>
        </w:rPr>
        <w:t>协定</w:t>
      </w:r>
      <w:r>
        <w:rPr>
          <w:rFonts w:hint="eastAsia"/>
          <w:b w:val="0"/>
          <w:bCs/>
        </w:rPr>
        <w:t>带来的机遇。中央政治局会议提出，加快形成以国内大循环为主体、国内国际双循环相互促进的新发展格局。</w:t>
      </w:r>
      <w:r>
        <w:rPr>
          <w:b w:val="0"/>
          <w:bCs/>
        </w:rPr>
        <w:t>新格局有利于激活高质量发展的强劲内生动力。</w:t>
      </w:r>
      <w:r>
        <w:rPr>
          <w:rFonts w:hint="eastAsia"/>
          <w:b w:val="0"/>
          <w:bCs/>
        </w:rPr>
        <w:t>国内拥有</w:t>
      </w:r>
      <w:r>
        <w:rPr>
          <w:b w:val="0"/>
          <w:bCs/>
        </w:rPr>
        <w:t>超大市场规模优势，把巨大市场潜力转化为实际需求，形成更多新的增长点、增长极，着力打通生产、分配、流通、消费各个环节，畅通国内大循环，有利于国内市场需求持续升级和供给能力不断提升。</w:t>
      </w:r>
      <w:r>
        <w:rPr>
          <w:rFonts w:hint="eastAsia"/>
          <w:b w:val="0"/>
          <w:bCs/>
          <w:szCs w:val="22"/>
        </w:rPr>
        <w:t>当今世界各国经济社会发展联系日益密切，RCEP的签订加速市场壁垒消除和国际合作渠道畅通，为区域和全球经济增长注入强劲动力，有助于我国通过更全面、更深入、更多元的对外开放，进一步优化对外贸易和投资布局，不断与国际高标准贸易投资规则接轨，构建更高水平的开放型经济新体制。《滇中城市群发展规划》提出到2025年玉溪、楚雄升为中等城市，并构建“一主四副、点轴联动、通道对接”的空间战略结构，促进区域协同发展。一系列战略的实施将为玉溪市发展绿色食品制造业带来较大机遇。</w:t>
      </w:r>
    </w:p>
    <w:p>
      <w:pPr>
        <w:rPr>
          <w:b w:val="0"/>
          <w:bCs/>
        </w:rPr>
      </w:pPr>
      <w:r>
        <w:rPr>
          <w:rFonts w:hint="eastAsia"/>
          <w:b w:val="0"/>
          <w:bCs/>
        </w:rPr>
        <w:t>二是消费升级带来的机遇。</w:t>
      </w:r>
      <w:r>
        <w:rPr>
          <w:b w:val="0"/>
          <w:bCs/>
        </w:rPr>
        <w:t>全球食品产业高新技术的不断发展，催生了绿色有机精深加工食品、功能保健食品和营养方便食品等新业态，推动食品消费从生存型消费加速向健康型、享受型消费方向转变，食品消费市场将从保障供给逐渐转向个性化、功能化、时尚化的方向发展；不断促进食品产业向着标准化、系统化、规范化、产业化方向发展</w:t>
      </w:r>
      <w:r>
        <w:rPr>
          <w:rFonts w:hint="eastAsia"/>
          <w:b w:val="0"/>
          <w:bCs/>
        </w:rPr>
        <w:t>。受益于国家扩大内需政策的推进、城乡居民收入水平持续增加、食品需求刚性、供给侧结构性改革红利的逐步释放，食品市场需求逐步增加。</w:t>
      </w:r>
      <w:r>
        <w:rPr>
          <w:b w:val="0"/>
          <w:bCs/>
        </w:rPr>
        <w:t>随着消费结构升级，消费者对食品的方便性、营养化和安全水平提出更高的要求，</w:t>
      </w:r>
      <w:r>
        <w:rPr>
          <w:rFonts w:hint="eastAsia"/>
          <w:b w:val="0"/>
          <w:bCs/>
        </w:rPr>
        <w:t>愈发注重品质价值与营养生态、口味需求与新鲜感、高品质生活方式，高端食品、保健食品、功能食品、进口食品成为新趋向，</w:t>
      </w:r>
      <w:r>
        <w:rPr>
          <w:b w:val="0"/>
          <w:bCs/>
        </w:rPr>
        <w:t>从而为食品产业发展提供了更大的市场空间</w:t>
      </w:r>
      <w:r>
        <w:rPr>
          <w:rFonts w:hint="eastAsia"/>
          <w:b w:val="0"/>
          <w:bCs/>
        </w:rPr>
        <w:t>。</w:t>
      </w:r>
    </w:p>
    <w:p>
      <w:pPr>
        <w:rPr>
          <w:b w:val="0"/>
          <w:bCs/>
          <w:szCs w:val="22"/>
        </w:rPr>
      </w:pPr>
      <w:r>
        <w:rPr>
          <w:rFonts w:hint="eastAsia"/>
          <w:b w:val="0"/>
          <w:bCs/>
        </w:rPr>
        <w:t>三是云南省现代产业体系构建带来的机遇。十九大报告强调，我国经济已由高速增长阶段转向高质量发展阶段，正处在转变发展方式、优化经济结构、转换增长动力的攻关期。</w:t>
      </w:r>
      <w:r>
        <w:rPr>
          <w:b w:val="0"/>
          <w:bCs/>
        </w:rPr>
        <w:t>在持续打造八大重点产业和世界一流“三张牌”的基础上，提出了构建现代化产业体系的战略部署</w:t>
      </w:r>
      <w:r>
        <w:rPr>
          <w:rFonts w:hint="eastAsia"/>
          <w:b w:val="0"/>
          <w:bCs/>
        </w:rPr>
        <w:t>，《中共云南省委 云南省人民政府关于加快构建现代化产业体系的决定》提出重点培育先进制造业、旅游文化业、高原特色现代农业、现代物流业、健康服务业等为重点的万亿级支柱产业和绿色能源、数字经济、生物医药、新材料、环保、金融服务业、房地产业、烟草等为重点的千亿级优势产业。玉溪市具有丰富的农作物资源，发展绿色食品制造业</w:t>
      </w:r>
      <w:r>
        <w:rPr>
          <w:rFonts w:hint="eastAsia"/>
          <w:b w:val="0"/>
          <w:bCs/>
          <w:szCs w:val="22"/>
        </w:rPr>
        <w:t>具有坚实的原辅材料保障，云南省“绿色食品牌”及构建现代化产业体系战略部署为玉溪市绿色食品制造业的发展带来了政策红利。</w:t>
      </w:r>
    </w:p>
    <w:p>
      <w:pPr>
        <w:pStyle w:val="4"/>
        <w:rPr>
          <w:b w:val="0"/>
          <w:bCs/>
        </w:rPr>
      </w:pPr>
      <w:bookmarkStart w:id="31" w:name="_Toc27759"/>
      <w:r>
        <w:rPr>
          <w:rFonts w:hint="eastAsia"/>
          <w:b w:val="0"/>
          <w:bCs/>
        </w:rPr>
        <w:t>（二）</w:t>
      </w:r>
      <w:r>
        <w:rPr>
          <w:b w:val="0"/>
          <w:bCs/>
        </w:rPr>
        <w:t>面临的挑战</w:t>
      </w:r>
      <w:bookmarkEnd w:id="31"/>
    </w:p>
    <w:p>
      <w:pPr>
        <w:rPr>
          <w:b w:val="0"/>
          <w:bCs/>
        </w:rPr>
      </w:pPr>
      <w:r>
        <w:rPr>
          <w:rFonts w:hint="eastAsia"/>
          <w:b w:val="0"/>
          <w:bCs/>
        </w:rPr>
        <w:t>一是逆全球化发展趋势，对外向型食品产业的增长形成制约。近年来，随着世界经济低迷以及“逆全球化”趋势的出现，自由贸易理念被更多的国家所抛弃，取而代之的是不断升级的贸易保护主义，自由贸易理念边缘化，多边贸易体制短期内实现实质性突破较难。</w:t>
      </w:r>
      <w:r>
        <w:rPr>
          <w:b w:val="0"/>
          <w:bCs/>
        </w:rPr>
        <w:t>全球大型食品企业不断向多领域、全链条、深层次、低能耗、高效益和可持续方向发展。跨国食品集团通过资本重组，利用专利技术战略和人才资源优势，通过新产品开发和质量安全保障取得了市场优势，进一步提升了产业的竞争优势。欧美经济复苏动力不强、消费不振、需求疲软，对外向型食品企业的生存压力持续加大。</w:t>
      </w:r>
    </w:p>
    <w:p>
      <w:pPr>
        <w:pStyle w:val="2"/>
        <w:jc w:val="both"/>
        <w:rPr>
          <w:b w:val="0"/>
          <w:bCs/>
          <w:sz w:val="32"/>
        </w:rPr>
      </w:pPr>
      <w:r>
        <w:rPr>
          <w:rFonts w:hint="eastAsia"/>
          <w:b w:val="0"/>
          <w:bCs/>
          <w:sz w:val="32"/>
        </w:rPr>
        <w:t>二是高质量发展及新模式下，市场竞争更加激烈。</w:t>
      </w:r>
      <w:r>
        <w:rPr>
          <w:rFonts w:hint="eastAsia"/>
          <w:b w:val="0"/>
          <w:bCs/>
          <w:sz w:val="32"/>
        </w:rPr>
        <w:t>我国进入高质量发展阶段，需求结构随之进行调整，同时对产品的质量和品质提升也提出了更高的要求，使得企业竞争加剧。数字经济时代，90后、00后已经慢慢成为消费的主战场，创新营销、精准营销成为食品行业转型升级的一大难题。随着“7fresh”“盒马鲜生”“超级物种”“便利蜂”等新零售模式的崛起，拼多多等传统电商通过分流渗入市场，创新的营销模式吸引了一大批的顾客。“互联网+”加速应用，对企业生产、营销、管理都带来了严峻挑战。</w:t>
      </w:r>
    </w:p>
    <w:p>
      <w:pPr>
        <w:pStyle w:val="2"/>
        <w:jc w:val="both"/>
        <w:rPr>
          <w:b w:val="0"/>
          <w:bCs/>
          <w:sz w:val="32"/>
        </w:rPr>
      </w:pPr>
      <w:r>
        <w:rPr>
          <w:rFonts w:hint="eastAsia"/>
          <w:b w:val="0"/>
          <w:bCs/>
          <w:sz w:val="32"/>
        </w:rPr>
        <w:t>三是日益严格的政策环境下，企业面临较大生存压力。我国“史上最严”的食品安全法实施条例正式实施，党和政府将以更大力度推进实施食品安全战略，“严密监管+社会共治”将深入推行，确保“四个最严”落到实处。</w:t>
      </w:r>
      <w:r>
        <w:rPr>
          <w:b w:val="0"/>
          <w:bCs/>
          <w:sz w:val="32"/>
        </w:rPr>
        <w:t>消费者对食品质量安全更加关注，质量标准要求更高，</w:t>
      </w:r>
      <w:r>
        <w:rPr>
          <w:rFonts w:hint="eastAsia"/>
          <w:b w:val="0"/>
          <w:bCs/>
          <w:sz w:val="32"/>
        </w:rPr>
        <w:t>但</w:t>
      </w:r>
      <w:r>
        <w:rPr>
          <w:b w:val="0"/>
          <w:bCs/>
          <w:sz w:val="32"/>
        </w:rPr>
        <w:t>食品产业链的全球化导致食品安全保障的难度较大。当前，国家大力推进土地流转和农业规模化的生产，</w:t>
      </w:r>
      <w:r>
        <w:rPr>
          <w:rFonts w:hint="eastAsia"/>
          <w:b w:val="0"/>
          <w:bCs/>
          <w:sz w:val="32"/>
        </w:rPr>
        <w:t>严格防止</w:t>
      </w:r>
      <w:r>
        <w:rPr>
          <w:b w:val="0"/>
          <w:bCs/>
          <w:sz w:val="32"/>
        </w:rPr>
        <w:t>土地变成非农化，保护耕地的数量和土地的质量，</w:t>
      </w:r>
      <w:r>
        <w:rPr>
          <w:rFonts w:hint="eastAsia"/>
          <w:b w:val="0"/>
          <w:bCs/>
          <w:sz w:val="32"/>
        </w:rPr>
        <w:t>工业用地越来越紧张，企业扩张受限，土地使用成本加大，面临较大生存压力。</w:t>
      </w:r>
      <w:r>
        <w:rPr>
          <w:b w:val="0"/>
          <w:bCs/>
          <w:sz w:val="32"/>
        </w:rPr>
        <w:t>随着经济和工业化的发展，环境污染愈加</w:t>
      </w:r>
      <w:r>
        <w:rPr>
          <w:rFonts w:hint="eastAsia"/>
          <w:b w:val="0"/>
          <w:bCs/>
          <w:sz w:val="32"/>
        </w:rPr>
        <w:t>严重</w:t>
      </w:r>
      <w:r>
        <w:rPr>
          <w:b w:val="0"/>
          <w:bCs/>
          <w:sz w:val="32"/>
        </w:rPr>
        <w:t>，人们的意识也逐渐回升，越来越重视生存环境，</w:t>
      </w:r>
      <w:r>
        <w:rPr>
          <w:rFonts w:hint="eastAsia"/>
          <w:b w:val="0"/>
          <w:bCs/>
          <w:sz w:val="32"/>
        </w:rPr>
        <w:t>绿色食品制造业发展面临更大的环保压力。</w:t>
      </w:r>
    </w:p>
    <w:p>
      <w:pPr>
        <w:pStyle w:val="3"/>
        <w:ind w:firstLine="723"/>
        <w:rPr>
          <w:b w:val="0"/>
          <w:bCs/>
        </w:rPr>
      </w:pPr>
      <w:bookmarkStart w:id="32" w:name="_Toc28599"/>
      <w:r>
        <w:rPr>
          <w:rFonts w:hint="eastAsia"/>
          <w:b w:val="0"/>
          <w:bCs/>
        </w:rPr>
        <w:t>三、</w:t>
      </w:r>
      <w:r>
        <w:rPr>
          <w:b w:val="0"/>
          <w:bCs/>
        </w:rPr>
        <w:t>总体思路</w:t>
      </w:r>
      <w:bookmarkEnd w:id="32"/>
    </w:p>
    <w:p>
      <w:pPr>
        <w:pStyle w:val="4"/>
        <w:rPr>
          <w:b w:val="0"/>
          <w:bCs/>
        </w:rPr>
      </w:pPr>
      <w:bookmarkStart w:id="33" w:name="_Toc27221"/>
      <w:r>
        <w:rPr>
          <w:rFonts w:hint="eastAsia"/>
          <w:b w:val="0"/>
          <w:bCs/>
        </w:rPr>
        <w:t>（一）</w:t>
      </w:r>
      <w:r>
        <w:rPr>
          <w:b w:val="0"/>
          <w:bCs/>
        </w:rPr>
        <w:t>指导思想</w:t>
      </w:r>
      <w:bookmarkEnd w:id="33"/>
    </w:p>
    <w:p>
      <w:pPr>
        <w:ind w:firstLine="640"/>
        <w:rPr>
          <w:b w:val="0"/>
          <w:bCs/>
          <w:szCs w:val="22"/>
        </w:rPr>
      </w:pPr>
      <w:r>
        <w:rPr>
          <w:rFonts w:hint="eastAsia"/>
          <w:b w:val="0"/>
          <w:bCs/>
        </w:rPr>
        <w:t>以习近平新时代中国特色社会主义思想为指导，深入贯彻党的十九大和十九届二中、三中、四中、五中全会精神，深入贯彻落实习近平总书记考察云南重要讲话精神，牢固树立新发展理念，贯彻落实国家“三品”战略和云南省打好“绿色食品牌”要求，</w:t>
      </w:r>
      <w:r>
        <w:rPr>
          <w:b w:val="0"/>
          <w:bCs/>
        </w:rPr>
        <w:t>积极</w:t>
      </w:r>
      <w:r>
        <w:rPr>
          <w:rFonts w:hint="eastAsia"/>
          <w:b w:val="0"/>
          <w:bCs/>
        </w:rPr>
        <w:t>融入以国内大循环为主体、国内国际双循环相互促进的新发展格局</w:t>
      </w:r>
      <w:r>
        <w:rPr>
          <w:b w:val="0"/>
          <w:bCs/>
        </w:rPr>
        <w:t>，</w:t>
      </w:r>
      <w:r>
        <w:rPr>
          <w:rFonts w:hint="eastAsia"/>
          <w:b w:val="0"/>
          <w:bCs/>
        </w:rPr>
        <w:t>充分发挥我市资源优势和交通优势，坚持一二三产业融合发展，紧密围绕打造“滇中崛起增长极、乡村振兴示范区、共同富裕示范区</w:t>
      </w:r>
      <w:r>
        <w:rPr>
          <w:rFonts w:hint="eastAsia"/>
          <w:b w:val="0"/>
          <w:bCs/>
          <w:szCs w:val="22"/>
        </w:rPr>
        <w:t>”，按照“大产业+新主体+新平台”发展模式和“7+4+4”发展思路（7个重点方向，4个任务，4大工程），做精特色、做大存量、做好增量</w:t>
      </w:r>
      <w:r>
        <w:rPr>
          <w:rFonts w:hint="eastAsia"/>
          <w:b w:val="0"/>
          <w:bCs/>
          <w:szCs w:val="22"/>
          <w:lang w:eastAsia="zh-CN"/>
        </w:rPr>
        <w:t>、</w:t>
      </w:r>
      <w:r>
        <w:rPr>
          <w:rFonts w:hint="eastAsia"/>
          <w:b w:val="0"/>
          <w:bCs/>
          <w:szCs w:val="22"/>
        </w:rPr>
        <w:t>做优效益，强力推进绿色食品制造业向绿色化、优质化、差异化</w:t>
      </w:r>
      <w:r>
        <w:rPr>
          <w:b w:val="0"/>
          <w:bCs/>
        </w:rPr>
        <w:t>、品牌化</w:t>
      </w:r>
      <w:r>
        <w:rPr>
          <w:rFonts w:hint="eastAsia"/>
          <w:b w:val="0"/>
          <w:bCs/>
        </w:rPr>
        <w:t>方向</w:t>
      </w:r>
      <w:r>
        <w:rPr>
          <w:b w:val="0"/>
          <w:bCs/>
        </w:rPr>
        <w:t>发</w:t>
      </w:r>
      <w:r>
        <w:rPr>
          <w:b w:val="0"/>
          <w:bCs/>
          <w:szCs w:val="22"/>
        </w:rPr>
        <w:t>展</w:t>
      </w:r>
      <w:r>
        <w:rPr>
          <w:rFonts w:hint="eastAsia"/>
          <w:b w:val="0"/>
          <w:bCs/>
          <w:szCs w:val="22"/>
        </w:rPr>
        <w:t>，不断提升绿色食品制造业整体竞争力，</w:t>
      </w:r>
      <w:r>
        <w:rPr>
          <w:b w:val="0"/>
          <w:bCs/>
          <w:szCs w:val="22"/>
        </w:rPr>
        <w:t>持续打造一流玉溪“绿色食品牌”</w:t>
      </w:r>
      <w:r>
        <w:rPr>
          <w:rFonts w:hint="eastAsia"/>
          <w:b w:val="0"/>
          <w:bCs/>
          <w:szCs w:val="22"/>
        </w:rPr>
        <w:t>。</w:t>
      </w:r>
    </w:p>
    <w:p>
      <w:pPr>
        <w:pStyle w:val="4"/>
        <w:rPr>
          <w:b w:val="0"/>
          <w:bCs/>
        </w:rPr>
      </w:pPr>
      <w:bookmarkStart w:id="34" w:name="_Toc29008"/>
      <w:r>
        <w:rPr>
          <w:rFonts w:hint="eastAsia"/>
          <w:b w:val="0"/>
          <w:bCs/>
        </w:rPr>
        <w:t>（二）</w:t>
      </w:r>
      <w:r>
        <w:rPr>
          <w:b w:val="0"/>
          <w:bCs/>
        </w:rPr>
        <w:t>基本原则</w:t>
      </w:r>
      <w:bookmarkEnd w:id="34"/>
    </w:p>
    <w:p>
      <w:pPr>
        <w:rPr>
          <w:b w:val="0"/>
          <w:bCs/>
        </w:rPr>
      </w:pPr>
      <w:r>
        <w:rPr>
          <w:b w:val="0"/>
          <w:bCs/>
        </w:rPr>
        <w:t>坚持市场主导</w:t>
      </w:r>
      <w:r>
        <w:rPr>
          <w:rFonts w:hint="eastAsia"/>
          <w:b w:val="0"/>
          <w:bCs/>
        </w:rPr>
        <w:t>。坚持市场导向原则，强化企业主体地位，发挥市场配置资源的决定性作用，激发市场主体活力和竞争力。尊重产业发展规律，加强规划引导、设施建设和政策扶持，营造公平竞争营商环境，着力为行业发展树导向、打基础、创环境。</w:t>
      </w:r>
    </w:p>
    <w:p>
      <w:pPr>
        <w:rPr>
          <w:b w:val="0"/>
          <w:bCs/>
        </w:rPr>
      </w:pPr>
      <w:r>
        <w:rPr>
          <w:rFonts w:hint="eastAsia"/>
          <w:b w:val="0"/>
          <w:bCs/>
        </w:rPr>
        <w:t>坚持</w:t>
      </w:r>
      <w:r>
        <w:rPr>
          <w:b w:val="0"/>
          <w:bCs/>
        </w:rPr>
        <w:t>创新驱动</w:t>
      </w:r>
      <w:r>
        <w:rPr>
          <w:rFonts w:hint="eastAsia"/>
          <w:b w:val="0"/>
          <w:bCs/>
        </w:rPr>
        <w:t>。实施创新驱动发展战略，深化供给侧结构性改革和高质量发展。坚持把科技创新作为引领行业发展的第一动力，巩固企业技术创新主体地位，支持企业加大研发投入，加强产学研用结合，加快新产品开发与应用进程，推进智能制造，增强自主创新对行业发展的支撑能力。</w:t>
      </w:r>
    </w:p>
    <w:p>
      <w:pPr>
        <w:rPr>
          <w:b w:val="0"/>
          <w:bCs/>
          <w:szCs w:val="22"/>
        </w:rPr>
      </w:pPr>
      <w:r>
        <w:rPr>
          <w:b w:val="0"/>
          <w:bCs/>
        </w:rPr>
        <w:t>坚持</w:t>
      </w:r>
      <w:r>
        <w:rPr>
          <w:rFonts w:hint="eastAsia"/>
          <w:b w:val="0"/>
          <w:bCs/>
        </w:rPr>
        <w:t>改革</w:t>
      </w:r>
      <w:r>
        <w:rPr>
          <w:b w:val="0"/>
          <w:bCs/>
        </w:rPr>
        <w:t>开放</w:t>
      </w:r>
      <w:r>
        <w:rPr>
          <w:rFonts w:hint="eastAsia"/>
          <w:b w:val="0"/>
          <w:bCs/>
        </w:rPr>
        <w:t>。加强国际交流，统筹国内国际“两种资源、两个市场”，围绕行业发展重点方向，谋划引进一批国内外成长性好，拉动效应强的企业和项目，支持企业参与国</w:t>
      </w:r>
      <w:r>
        <w:rPr>
          <w:rFonts w:hint="eastAsia"/>
          <w:b w:val="0"/>
          <w:bCs/>
          <w:szCs w:val="22"/>
        </w:rPr>
        <w:t>际并购和重组，提升国际化经营能力，形成优进优出，内外联动的开放性产业格局。</w:t>
      </w:r>
    </w:p>
    <w:p>
      <w:pPr>
        <w:rPr>
          <w:b w:val="0"/>
          <w:bCs/>
          <w:szCs w:val="22"/>
        </w:rPr>
      </w:pPr>
      <w:r>
        <w:rPr>
          <w:rFonts w:hint="eastAsia"/>
          <w:b w:val="0"/>
          <w:bCs/>
          <w:szCs w:val="22"/>
        </w:rPr>
        <w:t>注重食品安全。坚持以质量为本，围绕原料基地建设、原材料采购控制、产品加工、储存、运输、销售全过程，实施覆盖产品全生命周期的质量管理和质量追溯制度，建立与行业发展相适应的检测监管体系，切实保障食品安全。</w:t>
      </w:r>
    </w:p>
    <w:p>
      <w:pPr>
        <w:pStyle w:val="4"/>
        <w:rPr>
          <w:b w:val="0"/>
          <w:bCs/>
        </w:rPr>
      </w:pPr>
      <w:bookmarkStart w:id="35" w:name="_Toc11083"/>
      <w:r>
        <w:rPr>
          <w:rFonts w:hint="eastAsia"/>
          <w:b w:val="0"/>
          <w:bCs/>
        </w:rPr>
        <w:t>（三）</w:t>
      </w:r>
      <w:r>
        <w:rPr>
          <w:b w:val="0"/>
          <w:bCs/>
        </w:rPr>
        <w:t>发展目标</w:t>
      </w:r>
      <w:bookmarkEnd w:id="35"/>
    </w:p>
    <w:p>
      <w:pPr>
        <w:rPr>
          <w:b w:val="0"/>
          <w:bCs/>
          <w:color w:val="000000" w:themeColor="text1"/>
          <w:szCs w:val="22"/>
          <w14:textFill>
            <w14:solidFill>
              <w14:schemeClr w14:val="tx1"/>
            </w14:solidFill>
          </w14:textFill>
        </w:rPr>
      </w:pPr>
      <w:r>
        <w:rPr>
          <w:rFonts w:hint="eastAsia"/>
          <w:b w:val="0"/>
          <w:bCs/>
          <w:color w:val="000000" w:themeColor="text1"/>
          <w14:textFill>
            <w14:solidFill>
              <w14:schemeClr w14:val="tx1"/>
            </w14:solidFill>
          </w14:textFill>
        </w:rPr>
        <w:t>产业规模目标。到2025年，玉溪市绿色食品制造业力争实现</w:t>
      </w:r>
      <w:r>
        <w:rPr>
          <w:rFonts w:hint="eastAsia"/>
          <w:b w:val="0"/>
          <w:bCs/>
          <w:color w:val="000000" w:themeColor="text1"/>
          <w:lang w:eastAsia="zh-CN"/>
          <w14:textFill>
            <w14:solidFill>
              <w14:schemeClr w14:val="tx1"/>
            </w14:solidFill>
          </w14:textFill>
        </w:rPr>
        <w:t>工业</w:t>
      </w:r>
      <w:r>
        <w:rPr>
          <w:rFonts w:hint="eastAsia"/>
          <w:b w:val="0"/>
          <w:bCs/>
          <w:color w:val="000000" w:themeColor="text1"/>
          <w14:textFill>
            <w14:solidFill>
              <w14:schemeClr w14:val="tx1"/>
            </w14:solidFill>
          </w14:textFill>
        </w:rPr>
        <w:t>总产值250亿元，年均增长14%；实现增加值45亿元，年均增长13.5%。详见附表2。</w:t>
      </w:r>
    </w:p>
    <w:p>
      <w:pPr>
        <w:rPr>
          <w:b w:val="0"/>
          <w:bCs/>
          <w:color w:val="FF0000"/>
        </w:rPr>
      </w:pPr>
      <w:r>
        <w:rPr>
          <w:rFonts w:hint="eastAsia"/>
          <w:b w:val="0"/>
          <w:bCs/>
        </w:rPr>
        <w:t>企业培育目标。培育一批具有较强竞争力的企业集团，形成一批市场认可度高、美誉度好的知名品牌。到2025年，</w:t>
      </w:r>
      <w:r>
        <w:rPr>
          <w:rFonts w:hint="eastAsia"/>
          <w:b w:val="0"/>
          <w:bCs/>
          <w:color w:val="FF0000"/>
        </w:rPr>
        <w:t>新增主营业务收入超亿元企业8户，超10亿元企业1户。</w:t>
      </w:r>
    </w:p>
    <w:p>
      <w:pPr>
        <w:rPr>
          <w:b w:val="0"/>
          <w:bCs/>
        </w:rPr>
      </w:pPr>
      <w:r>
        <w:rPr>
          <w:rFonts w:hint="eastAsia"/>
          <w:b w:val="0"/>
          <w:bCs/>
        </w:rPr>
        <w:t>技术创新目标。鼓励企业加大科技研发费用投入，健全技术创新体系。</w:t>
      </w:r>
      <w:r>
        <w:rPr>
          <w:rFonts w:hint="eastAsia"/>
          <w:b w:val="0"/>
          <w:bCs/>
          <w:color w:val="FF0000"/>
        </w:rPr>
        <w:t>新增省级企业技术中心</w:t>
      </w:r>
      <w:r>
        <w:rPr>
          <w:b w:val="0"/>
          <w:bCs/>
          <w:color w:val="FF0000"/>
        </w:rPr>
        <w:t>4</w:t>
      </w:r>
      <w:r>
        <w:rPr>
          <w:rFonts w:hint="eastAsia"/>
          <w:b w:val="0"/>
          <w:bCs/>
          <w:color w:val="FF0000"/>
        </w:rPr>
        <w:t>户，院士专家工作站</w:t>
      </w:r>
      <w:r>
        <w:rPr>
          <w:b w:val="0"/>
          <w:bCs/>
          <w:color w:val="FF0000"/>
        </w:rPr>
        <w:t>3</w:t>
      </w:r>
      <w:r>
        <w:rPr>
          <w:rFonts w:hint="eastAsia"/>
          <w:b w:val="0"/>
          <w:bCs/>
          <w:color w:val="FF0000"/>
        </w:rPr>
        <w:t>个。</w:t>
      </w:r>
    </w:p>
    <w:p>
      <w:pPr>
        <w:pStyle w:val="2"/>
        <w:jc w:val="both"/>
        <w:rPr>
          <w:b w:val="0"/>
          <w:bCs/>
          <w:sz w:val="32"/>
        </w:rPr>
      </w:pPr>
      <w:r>
        <w:rPr>
          <w:rFonts w:hint="eastAsia"/>
          <w:b w:val="0"/>
          <w:bCs/>
          <w:sz w:val="32"/>
        </w:rPr>
        <w:t>食品安全目标。到2025年，力争规模以上食品企业全部建立食品安全全程追溯体系，规模以上企业基本建立质量管理认证体系及诚信管理体系，食品安全监管实现规范化、常态化和法制化。食品、食品添加剂、食品相关产品中的致病性微生物、农药残留、生物毒素、重金属等污染物质以及其他危害人体健康物质的限量达到或优于有关法律法规及食品安全标准的规定。</w:t>
      </w:r>
    </w:p>
    <w:p>
      <w:pPr>
        <w:pStyle w:val="4"/>
        <w:rPr>
          <w:b w:val="0"/>
          <w:bCs/>
          <w:szCs w:val="22"/>
        </w:rPr>
      </w:pPr>
      <w:bookmarkStart w:id="36" w:name="_Toc13890"/>
      <w:r>
        <w:rPr>
          <w:rFonts w:hint="eastAsia"/>
          <w:b w:val="0"/>
          <w:bCs/>
          <w:szCs w:val="22"/>
        </w:rPr>
        <w:t>（四）远景目标</w:t>
      </w:r>
      <w:bookmarkEnd w:id="36"/>
    </w:p>
    <w:p>
      <w:pPr>
        <w:pStyle w:val="2"/>
        <w:ind w:firstLine="640"/>
        <w:jc w:val="both"/>
        <w:rPr>
          <w:b w:val="0"/>
          <w:bCs/>
          <w:color w:val="auto"/>
          <w:sz w:val="32"/>
        </w:rPr>
      </w:pPr>
      <w:r>
        <w:rPr>
          <w:rFonts w:hint="eastAsia"/>
          <w:b w:val="0"/>
          <w:bCs/>
          <w:sz w:val="32"/>
        </w:rPr>
        <w:t>到2035年，我市绿色食品制造业产业规模有较大提升，产品市场进一步扩大，产业集群集</w:t>
      </w:r>
      <w:r>
        <w:rPr>
          <w:rFonts w:hint="eastAsia"/>
          <w:b w:val="0"/>
          <w:bCs/>
          <w:color w:val="auto"/>
          <w:sz w:val="32"/>
        </w:rPr>
        <w:t>聚发展，形成种植、加工、配送等为一体的产业链体系，产品结构更趋合理，绿色、有机、健康产品占主导，包装设计更时尚，拥有国内知名的具有代表性的引领市场消费产品。</w:t>
      </w:r>
    </w:p>
    <w:p>
      <w:pPr>
        <w:pStyle w:val="3"/>
        <w:ind w:firstLine="723"/>
        <w:rPr>
          <w:b w:val="0"/>
          <w:bCs/>
        </w:rPr>
      </w:pPr>
      <w:bookmarkStart w:id="37" w:name="_Toc14744"/>
      <w:r>
        <w:rPr>
          <w:rFonts w:hint="eastAsia"/>
          <w:b w:val="0"/>
          <w:bCs/>
        </w:rPr>
        <w:t>四、</w:t>
      </w:r>
      <w:r>
        <w:rPr>
          <w:b w:val="0"/>
          <w:bCs/>
        </w:rPr>
        <w:t>发展重点</w:t>
      </w:r>
      <w:bookmarkEnd w:id="37"/>
    </w:p>
    <w:p>
      <w:pPr>
        <w:ind w:firstLine="640"/>
        <w:rPr>
          <w:b w:val="0"/>
          <w:bCs/>
        </w:rPr>
      </w:pPr>
      <w:r>
        <w:rPr>
          <w:rFonts w:hint="eastAsia"/>
          <w:b w:val="0"/>
          <w:bCs/>
        </w:rPr>
        <w:t>依托我市丰富的原材料优势以及发展基础，做强粮油制</w:t>
      </w:r>
      <w:r>
        <w:rPr>
          <w:rFonts w:hint="eastAsia"/>
          <w:b w:val="0"/>
          <w:bCs/>
          <w:color w:val="auto"/>
        </w:rPr>
        <w:t>品加工、果蔬加工两大传统优势产业，做精酒及饮料制造、肉类食品加工、酱菜调味品及食品添加剂三大名特优产业，做大烘焙食品与制糖、营养及保健食品制造两大时尚消费产业，根据市场需求开发新产品。积极开拓原材料基地建设、冷链物流、包装印刷、工业旅游四大关联产业，为绿色食品</w:t>
      </w:r>
      <w:r>
        <w:rPr>
          <w:rFonts w:hint="eastAsia"/>
          <w:b w:val="0"/>
          <w:bCs/>
        </w:rPr>
        <w:t>制造业发展提供保障。</w:t>
      </w:r>
    </w:p>
    <w:p>
      <w:pPr>
        <w:keepNext/>
        <w:keepLines/>
        <w:spacing w:line="240" w:lineRule="auto"/>
        <w:ind w:firstLine="0" w:firstLineChars="0"/>
        <w:rPr>
          <w:b w:val="0"/>
          <w:bCs/>
        </w:rPr>
      </w:pPr>
      <w:r>
        <w:rPr>
          <w:b w:val="0"/>
          <w:bCs/>
        </w:rPr>
        <w:drawing>
          <wp:inline distT="0" distB="0" distL="114300" distR="114300">
            <wp:extent cx="6128385" cy="4115435"/>
            <wp:effectExtent l="0" t="0" r="5715" b="18415"/>
            <wp:docPr id="1" name="图片 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true"/>
                    </pic:cNvPicPr>
                  </pic:nvPicPr>
                  <pic:blipFill>
                    <a:blip r:embed="rId9"/>
                    <a:stretch>
                      <a:fillRect/>
                    </a:stretch>
                  </pic:blipFill>
                  <pic:spPr>
                    <a:xfrm>
                      <a:off x="0" y="0"/>
                      <a:ext cx="6128385" cy="4115435"/>
                    </a:xfrm>
                    <a:prstGeom prst="rect">
                      <a:avLst/>
                    </a:prstGeom>
                    <a:noFill/>
                    <a:ln>
                      <a:noFill/>
                    </a:ln>
                  </pic:spPr>
                </pic:pic>
              </a:graphicData>
            </a:graphic>
          </wp:inline>
        </w:drawing>
      </w:r>
    </w:p>
    <w:p>
      <w:pPr>
        <w:ind w:firstLine="562"/>
        <w:jc w:val="center"/>
        <w:rPr>
          <w:b w:val="0"/>
          <w:bCs/>
        </w:rPr>
      </w:pPr>
      <w:r>
        <w:rPr>
          <w:rFonts w:hint="eastAsia"/>
          <w:b w:val="0"/>
          <w:bCs/>
          <w:sz w:val="28"/>
          <w:szCs w:val="28"/>
        </w:rPr>
        <w:t>图1 玉溪市绿色食品制造业产业链条</w:t>
      </w:r>
    </w:p>
    <w:p>
      <w:pPr>
        <w:pStyle w:val="4"/>
        <w:rPr>
          <w:b w:val="0"/>
          <w:bCs/>
        </w:rPr>
      </w:pPr>
      <w:bookmarkStart w:id="38" w:name="_Toc5652"/>
      <w:r>
        <w:rPr>
          <w:rFonts w:hint="eastAsia"/>
          <w:b w:val="0"/>
          <w:bCs/>
        </w:rPr>
        <w:t>（一）做强传统优势产业</w:t>
      </w:r>
      <w:bookmarkEnd w:id="38"/>
    </w:p>
    <w:p>
      <w:pPr>
        <w:pStyle w:val="5"/>
        <w:rPr>
          <w:b w:val="0"/>
          <w:bCs/>
        </w:rPr>
      </w:pPr>
      <w:bookmarkStart w:id="39" w:name="_Toc22821"/>
      <w:bookmarkStart w:id="40" w:name="_Toc5013"/>
      <w:r>
        <w:rPr>
          <w:rFonts w:hint="eastAsia"/>
          <w:b w:val="0"/>
          <w:bCs/>
        </w:rPr>
        <w:t>1. 粮油制品</w:t>
      </w:r>
      <w:r>
        <w:rPr>
          <w:b w:val="0"/>
          <w:bCs/>
        </w:rPr>
        <w:t>加工</w:t>
      </w:r>
      <w:bookmarkEnd w:id="39"/>
      <w:bookmarkEnd w:id="40"/>
    </w:p>
    <w:p>
      <w:pPr>
        <w:ind w:firstLine="640"/>
        <w:rPr>
          <w:b w:val="0"/>
          <w:bCs/>
        </w:rPr>
      </w:pPr>
      <w:r>
        <w:rPr>
          <w:rFonts w:hint="eastAsia"/>
          <w:b w:val="0"/>
          <w:bCs/>
        </w:rPr>
        <w:t>以红塔区、峨山县、通海县、易门县为重点，建设云南省重要的粮油加工基地。</w:t>
      </w:r>
    </w:p>
    <w:p>
      <w:pPr>
        <w:pStyle w:val="10"/>
        <w:spacing w:after="0"/>
        <w:ind w:left="0" w:leftChars="0"/>
        <w:rPr>
          <w:b w:val="0"/>
          <w:bCs/>
        </w:rPr>
      </w:pPr>
      <w:r>
        <w:rPr>
          <w:rFonts w:hint="eastAsia"/>
          <w:b w:val="0"/>
          <w:bCs/>
        </w:rPr>
        <w:t>食用油：鼓励企业开发低脂高营养食用油，提高产品品质。大力发展豆油、菜籽油、玉米油、棕榈油、花生油、芝麻油等受消费者欢迎的普通食用油。积极开发核桃油、茶油、橄榄油、滇红花籽油、美藤果油、紫苏油、亚麻油、沙棘籽油等高端营养油，并向小包装食用油发展。</w:t>
      </w:r>
    </w:p>
    <w:p>
      <w:pPr>
        <w:pStyle w:val="10"/>
        <w:spacing w:after="0"/>
        <w:ind w:left="0" w:leftChars="0"/>
        <w:rPr>
          <w:b w:val="0"/>
          <w:bCs/>
        </w:rPr>
      </w:pPr>
      <w:r>
        <w:rPr>
          <w:rFonts w:hint="eastAsia"/>
          <w:b w:val="0"/>
          <w:bCs/>
        </w:rPr>
        <w:t>粮食制品：重点开发面条、米线等系列产品。同时，充分利用米糠、油脂资源，积极开发米蛋白、米糠营养油、卵磷脂、甘油、脂肪酸等高附加值产品，加快产业向深加工和综合利用方向发展，快速扩大产业规模。</w:t>
      </w:r>
    </w:p>
    <w:p>
      <w:pPr>
        <w:pStyle w:val="5"/>
        <w:rPr>
          <w:b w:val="0"/>
          <w:bCs/>
        </w:rPr>
      </w:pPr>
      <w:bookmarkStart w:id="41" w:name="_Toc4448"/>
      <w:bookmarkStart w:id="42" w:name="_Toc20199"/>
      <w:r>
        <w:rPr>
          <w:rFonts w:hint="eastAsia"/>
          <w:b w:val="0"/>
          <w:bCs/>
        </w:rPr>
        <w:t>2. 果蔬加工</w:t>
      </w:r>
      <w:bookmarkEnd w:id="41"/>
      <w:bookmarkEnd w:id="42"/>
    </w:p>
    <w:p>
      <w:pPr>
        <w:rPr>
          <w:b w:val="0"/>
          <w:bCs/>
          <w:color w:val="FF0000"/>
        </w:rPr>
      </w:pPr>
      <w:bookmarkStart w:id="43" w:name="_Toc26324"/>
      <w:bookmarkStart w:id="44" w:name="_Toc9239"/>
      <w:bookmarkStart w:id="45" w:name="_Toc4349"/>
      <w:bookmarkStart w:id="46" w:name="_Toc11196"/>
      <w:bookmarkStart w:id="47" w:name="_Toc855"/>
      <w:bookmarkStart w:id="48" w:name="_Toc6199"/>
      <w:r>
        <w:rPr>
          <w:rFonts w:hint="eastAsia"/>
          <w:b w:val="0"/>
          <w:bCs/>
          <w:szCs w:val="22"/>
        </w:rPr>
        <w:t>蔬菜加工：</w:t>
      </w:r>
      <w:r>
        <w:rPr>
          <w:rFonts w:hint="eastAsia"/>
          <w:b w:val="0"/>
          <w:bCs/>
        </w:rPr>
        <w:t>以通海县、江川区为重点，布局</w:t>
      </w:r>
      <w:r>
        <w:rPr>
          <w:b w:val="0"/>
          <w:bCs/>
        </w:rPr>
        <w:t>建设面向省内外及</w:t>
      </w:r>
      <w:r>
        <w:rPr>
          <w:rFonts w:hint="eastAsia"/>
          <w:b w:val="0"/>
          <w:bCs/>
        </w:rPr>
        <w:t>南亚</w:t>
      </w:r>
      <w:r>
        <w:rPr>
          <w:b w:val="0"/>
          <w:bCs/>
        </w:rPr>
        <w:t>东南亚市场的</w:t>
      </w:r>
      <w:r>
        <w:rPr>
          <w:rFonts w:hint="eastAsia"/>
          <w:b w:val="0"/>
          <w:bCs/>
        </w:rPr>
        <w:t>绿色、有机、无公害</w:t>
      </w:r>
      <w:r>
        <w:rPr>
          <w:b w:val="0"/>
          <w:bCs/>
        </w:rPr>
        <w:t>优质蔬菜基地、蔬菜良种繁育中心</w:t>
      </w:r>
      <w:r>
        <w:rPr>
          <w:rFonts w:hint="eastAsia"/>
          <w:b w:val="0"/>
          <w:bCs/>
        </w:rPr>
        <w:t>和</w:t>
      </w:r>
      <w:r>
        <w:rPr>
          <w:b w:val="0"/>
          <w:bCs/>
        </w:rPr>
        <w:t>蔬菜工厂化育苗中心</w:t>
      </w:r>
      <w:r>
        <w:rPr>
          <w:rFonts w:hint="eastAsia"/>
          <w:b w:val="0"/>
          <w:bCs/>
        </w:rPr>
        <w:t>及蔬菜加工基地。</w:t>
      </w:r>
      <w:r>
        <w:rPr>
          <w:rFonts w:hint="eastAsia"/>
          <w:b w:val="0"/>
          <w:bCs/>
          <w:szCs w:val="22"/>
        </w:rPr>
        <w:t>重点培育云南云菜集团、通海高原农产品有限公司等龙头企业，加强蔬菜加工产业链建设，提高市场份额。健全和完善质量监测体系及质量追溯制度，制定和完善无公害蔬菜的生产标准。加快发展脱水菜</w:t>
      </w:r>
      <w:r>
        <w:rPr>
          <w:rFonts w:hint="eastAsia"/>
          <w:b w:val="0"/>
          <w:bCs/>
          <w:color w:val="auto"/>
          <w:szCs w:val="22"/>
        </w:rPr>
        <w:t>、保鲜菜、速冻蔬菜、冻干野生菌，逐步提高冻干蔬菜、速冻蔬菜的比例，大力推行蔬菜小包装。开发方便食品配料包、蔬菜汤料包、蔬菜粒、蔬菜粉、魔芋米、魔芋代餐粉、食用菌汤包、食用菌方便食品、食用菌功能营养品等高附加值时尚产品。脱水蔬</w:t>
      </w:r>
      <w:r>
        <w:rPr>
          <w:rFonts w:hint="eastAsia"/>
          <w:b w:val="0"/>
          <w:bCs/>
          <w:szCs w:val="22"/>
        </w:rPr>
        <w:t>菜方面，重点开发联合干燥技术、节能干燥技术等，促进脱水设备向先进、高效、节能方向发展。加强蔬菜加工产业链建设，提高市场份额。</w:t>
      </w:r>
      <w:bookmarkEnd w:id="43"/>
      <w:bookmarkEnd w:id="44"/>
      <w:bookmarkEnd w:id="45"/>
      <w:bookmarkEnd w:id="46"/>
      <w:bookmarkEnd w:id="47"/>
      <w:bookmarkEnd w:id="48"/>
    </w:p>
    <w:p>
      <w:pPr>
        <w:rPr>
          <w:b w:val="0"/>
          <w:bCs/>
        </w:rPr>
      </w:pPr>
      <w:r>
        <w:rPr>
          <w:rFonts w:hint="eastAsia"/>
          <w:b w:val="0"/>
          <w:bCs/>
          <w:szCs w:val="22"/>
        </w:rPr>
        <w:t>水果加工：</w:t>
      </w:r>
      <w:r>
        <w:rPr>
          <w:rFonts w:hint="eastAsia"/>
          <w:b w:val="0"/>
          <w:bCs/>
        </w:rPr>
        <w:t>充分利用丰富的水果资源，以新平县、元江县、华宁县为重点建设水果加工基地，培育玉溪实建果业有限公司</w:t>
      </w:r>
      <w:r>
        <w:rPr>
          <w:b w:val="0"/>
          <w:bCs/>
        </w:rPr>
        <w:t>、</w:t>
      </w:r>
      <w:r>
        <w:rPr>
          <w:rFonts w:hint="eastAsia"/>
          <w:b w:val="0"/>
          <w:bCs/>
        </w:rPr>
        <w:t>云南猫哆哩集团食品有限责任公司、</w:t>
      </w:r>
      <w:r>
        <w:rPr>
          <w:b w:val="0"/>
          <w:bCs/>
        </w:rPr>
        <w:fldChar w:fldCharType="begin"/>
      </w:r>
      <w:r>
        <w:rPr>
          <w:b w:val="0"/>
          <w:bCs/>
        </w:rPr>
        <w:instrText xml:space="preserve"> HYPERLINK "https://ditu.so.com/?pid=0617807b2667c068&amp;src=onebox" \t "https://www.so.com/_blank" </w:instrText>
      </w:r>
      <w:r>
        <w:rPr>
          <w:b w:val="0"/>
          <w:bCs/>
        </w:rPr>
        <w:fldChar w:fldCharType="separate"/>
      </w:r>
      <w:r>
        <w:rPr>
          <w:rFonts w:hint="eastAsia"/>
          <w:b w:val="0"/>
          <w:bCs/>
        </w:rPr>
        <w:t>云南望天树饮料有限公司</w:t>
      </w:r>
      <w:r>
        <w:rPr>
          <w:rFonts w:hint="eastAsia"/>
          <w:b w:val="0"/>
          <w:bCs/>
        </w:rPr>
        <w:fldChar w:fldCharType="end"/>
      </w:r>
      <w:r>
        <w:rPr>
          <w:rFonts w:hint="eastAsia"/>
          <w:b w:val="0"/>
          <w:bCs/>
        </w:rPr>
        <w:t>等水果加工企业。</w:t>
      </w:r>
      <w:r>
        <w:rPr>
          <w:b w:val="0"/>
          <w:bCs/>
        </w:rPr>
        <w:t>鼓励发展以“褚橙”为代表</w:t>
      </w:r>
      <w:r>
        <w:rPr>
          <w:rFonts w:hint="eastAsia"/>
          <w:b w:val="0"/>
          <w:bCs/>
        </w:rPr>
        <w:t>的</w:t>
      </w:r>
      <w:r>
        <w:rPr>
          <w:b w:val="0"/>
          <w:bCs/>
        </w:rPr>
        <w:t>特、精水果</w:t>
      </w:r>
      <w:r>
        <w:rPr>
          <w:rFonts w:hint="eastAsia"/>
          <w:b w:val="0"/>
          <w:bCs/>
        </w:rPr>
        <w:t>初</w:t>
      </w:r>
      <w:r>
        <w:rPr>
          <w:b w:val="0"/>
          <w:bCs/>
        </w:rPr>
        <w:t>加工</w:t>
      </w:r>
      <w:r>
        <w:rPr>
          <w:rFonts w:hint="eastAsia"/>
          <w:b w:val="0"/>
          <w:bCs/>
        </w:rPr>
        <w:t>和深加工，重点发展</w:t>
      </w:r>
      <w:r>
        <w:rPr>
          <w:b w:val="0"/>
          <w:bCs/>
        </w:rPr>
        <w:t>保鲜水果、</w:t>
      </w:r>
      <w:r>
        <w:rPr>
          <w:rFonts w:hint="eastAsia"/>
          <w:b w:val="0"/>
          <w:bCs/>
        </w:rPr>
        <w:t>冻干水果、</w:t>
      </w:r>
      <w:r>
        <w:rPr>
          <w:b w:val="0"/>
          <w:bCs/>
        </w:rPr>
        <w:t>果脯、果干、果粉、</w:t>
      </w:r>
      <w:r>
        <w:rPr>
          <w:rFonts w:hint="eastAsia"/>
          <w:b w:val="0"/>
          <w:bCs/>
        </w:rPr>
        <w:t>果酱、果泥、果醋、果汁、水果</w:t>
      </w:r>
      <w:r>
        <w:rPr>
          <w:b w:val="0"/>
          <w:bCs/>
        </w:rPr>
        <w:t>罐头</w:t>
      </w:r>
      <w:r>
        <w:rPr>
          <w:rFonts w:hint="eastAsia"/>
          <w:b w:val="0"/>
          <w:bCs/>
        </w:rPr>
        <w:t>等产品。</w:t>
      </w:r>
    </w:p>
    <w:p>
      <w:pPr>
        <w:pStyle w:val="4"/>
        <w:rPr>
          <w:b w:val="0"/>
          <w:bCs/>
        </w:rPr>
      </w:pPr>
      <w:bookmarkStart w:id="49" w:name="_Toc31583"/>
      <w:r>
        <w:rPr>
          <w:rFonts w:hint="eastAsia"/>
          <w:b w:val="0"/>
          <w:bCs/>
        </w:rPr>
        <w:t>（二）做精名特优产业</w:t>
      </w:r>
      <w:bookmarkEnd w:id="49"/>
    </w:p>
    <w:p>
      <w:pPr>
        <w:pStyle w:val="5"/>
        <w:rPr>
          <w:b w:val="0"/>
          <w:bCs/>
        </w:rPr>
      </w:pPr>
      <w:bookmarkStart w:id="50" w:name="_Toc28128"/>
      <w:bookmarkStart w:id="51" w:name="_Toc11483"/>
      <w:r>
        <w:rPr>
          <w:rFonts w:hint="eastAsia"/>
          <w:b w:val="0"/>
          <w:bCs/>
        </w:rPr>
        <w:t>1. 酒及饮料制造</w:t>
      </w:r>
      <w:bookmarkEnd w:id="50"/>
      <w:bookmarkEnd w:id="51"/>
    </w:p>
    <w:p>
      <w:pPr>
        <w:rPr>
          <w:b w:val="0"/>
          <w:bCs/>
        </w:rPr>
      </w:pPr>
      <w:r>
        <w:rPr>
          <w:b w:val="0"/>
          <w:bCs/>
        </w:rPr>
        <w:t>酒：</w:t>
      </w:r>
      <w:r>
        <w:rPr>
          <w:rFonts w:hint="eastAsia"/>
          <w:b w:val="0"/>
          <w:bCs/>
        </w:rPr>
        <w:t>注重发挥玉林泉酒业作为中国小曲清香型白酒典型代表的特色优势和示范带动作用，巩固提升玉林泉酒知名品牌地位。培育江川古滇彝家酒业有限公司</w:t>
      </w:r>
      <w:r>
        <w:rPr>
          <w:b w:val="0"/>
          <w:bCs/>
        </w:rPr>
        <w:t>、云南褚酒庄园酒业有限公司等</w:t>
      </w:r>
      <w:r>
        <w:rPr>
          <w:rFonts w:hint="eastAsia"/>
          <w:b w:val="0"/>
          <w:bCs/>
        </w:rPr>
        <w:t>龙头</w:t>
      </w:r>
      <w:r>
        <w:rPr>
          <w:b w:val="0"/>
          <w:bCs/>
        </w:rPr>
        <w:t>企业</w:t>
      </w:r>
      <w:r>
        <w:rPr>
          <w:rFonts w:hint="eastAsia"/>
          <w:b w:val="0"/>
          <w:bCs/>
        </w:rPr>
        <w:t>，重点开发优质、中高档、生态化白酒产品，积极开发生啤、白啤等各类高档产品，以及果酒、露酒、保健酒等大众产品。引导企业适应消费结构升级趋势，构建品牌强大、品类优化、品质优良的产品体系。引导中小型酒企业、小作坊酒厂为龙头企业协作配套，形成龙头企业引领带动、产品品牌高度集中、品质保障度高、市场竞争规范有序的产业生态链。</w:t>
      </w:r>
      <w:r>
        <w:rPr>
          <w:b w:val="0"/>
          <w:bCs/>
        </w:rPr>
        <w:t>充分发挥具有悠久</w:t>
      </w:r>
      <w:r>
        <w:rPr>
          <w:b w:val="0"/>
          <w:bCs/>
        </w:rPr>
        <w:fldChar w:fldCharType="begin"/>
      </w:r>
      <w:r>
        <w:rPr>
          <w:b w:val="0"/>
          <w:bCs/>
        </w:rPr>
        <w:instrText xml:space="preserve"> HYPERLINK "http://www.tonghai.gov.cn/pubnews/gallery/you/yjls/index.asp" \t "_blank" </w:instrText>
      </w:r>
      <w:r>
        <w:rPr>
          <w:b w:val="0"/>
          <w:bCs/>
        </w:rPr>
        <w:fldChar w:fldCharType="separate"/>
      </w:r>
      <w:r>
        <w:rPr>
          <w:rStyle w:val="31"/>
          <w:b w:val="0"/>
          <w:bCs/>
          <w:color w:val="auto"/>
          <w:u w:val="none"/>
        </w:rPr>
        <w:t>历史</w:t>
      </w:r>
      <w:r>
        <w:rPr>
          <w:rStyle w:val="31"/>
          <w:b w:val="0"/>
          <w:bCs/>
          <w:color w:val="auto"/>
          <w:u w:val="none"/>
        </w:rPr>
        <w:fldChar w:fldCharType="end"/>
      </w:r>
      <w:r>
        <w:rPr>
          <w:b w:val="0"/>
          <w:bCs/>
        </w:rPr>
        <w:t>的通海曲陀关</w:t>
      </w:r>
      <w:r>
        <w:rPr>
          <w:b w:val="0"/>
          <w:bCs/>
        </w:rPr>
        <w:fldChar w:fldCharType="begin"/>
      </w:r>
      <w:r>
        <w:rPr>
          <w:b w:val="0"/>
          <w:bCs/>
        </w:rPr>
        <w:instrText xml:space="preserve"> HYPERLINK "http://www.tonghai.gov.cn/pubnews/doc/read/mtcp1/136085458.109522768/index.asp" \t "_blank" </w:instrText>
      </w:r>
      <w:r>
        <w:rPr>
          <w:b w:val="0"/>
          <w:bCs/>
        </w:rPr>
        <w:fldChar w:fldCharType="separate"/>
      </w:r>
      <w:r>
        <w:rPr>
          <w:rStyle w:val="31"/>
          <w:b w:val="0"/>
          <w:bCs/>
          <w:color w:val="auto"/>
          <w:u w:val="none"/>
        </w:rPr>
        <w:t>甜白酒</w:t>
      </w:r>
      <w:r>
        <w:rPr>
          <w:rStyle w:val="31"/>
          <w:b w:val="0"/>
          <w:bCs/>
          <w:color w:val="auto"/>
          <w:u w:val="none"/>
        </w:rPr>
        <w:fldChar w:fldCharType="end"/>
      </w:r>
      <w:r>
        <w:rPr>
          <w:b w:val="0"/>
          <w:bCs/>
        </w:rPr>
        <w:t>优势</w:t>
      </w:r>
      <w:r>
        <w:rPr>
          <w:rFonts w:hint="eastAsia"/>
          <w:b w:val="0"/>
          <w:bCs/>
        </w:rPr>
        <w:t>，</w:t>
      </w:r>
      <w:r>
        <w:rPr>
          <w:b w:val="0"/>
          <w:bCs/>
        </w:rPr>
        <w:t>建设“云南</w:t>
      </w:r>
      <w:r>
        <w:rPr>
          <w:b w:val="0"/>
          <w:bCs/>
        </w:rPr>
        <w:fldChar w:fldCharType="begin"/>
      </w:r>
      <w:r>
        <w:rPr>
          <w:b w:val="0"/>
          <w:bCs/>
        </w:rPr>
        <w:instrText xml:space="preserve"> HYPERLINK "http://www.tonghai.gov.cn/pubnews/doc/read/mtcp1/136085458.109522768/index.asp" \t "_blank" </w:instrText>
      </w:r>
      <w:r>
        <w:rPr>
          <w:b w:val="0"/>
          <w:bCs/>
        </w:rPr>
        <w:fldChar w:fldCharType="separate"/>
      </w:r>
      <w:r>
        <w:rPr>
          <w:rStyle w:val="31"/>
          <w:b w:val="0"/>
          <w:bCs/>
          <w:color w:val="auto"/>
          <w:u w:val="none"/>
        </w:rPr>
        <w:t>甜白酒</w:t>
      </w:r>
      <w:r>
        <w:rPr>
          <w:rStyle w:val="31"/>
          <w:b w:val="0"/>
          <w:bCs/>
          <w:color w:val="auto"/>
          <w:u w:val="none"/>
        </w:rPr>
        <w:fldChar w:fldCharType="end"/>
      </w:r>
      <w:r>
        <w:rPr>
          <w:b w:val="0"/>
          <w:bCs/>
        </w:rPr>
        <w:t>之乡”</w:t>
      </w:r>
      <w:r>
        <w:rPr>
          <w:rFonts w:hint="eastAsia"/>
          <w:b w:val="0"/>
          <w:bCs/>
        </w:rPr>
        <w:t>。</w:t>
      </w:r>
      <w:r>
        <w:rPr>
          <w:b w:val="0"/>
          <w:bCs/>
        </w:rPr>
        <w:t xml:space="preserve"> 打造</w:t>
      </w:r>
      <w:r>
        <w:rPr>
          <w:rFonts w:hint="eastAsia"/>
          <w:b w:val="0"/>
          <w:bCs/>
        </w:rPr>
        <w:t>玉溪市</w:t>
      </w:r>
      <w:r>
        <w:rPr>
          <w:b w:val="0"/>
          <w:bCs/>
        </w:rPr>
        <w:t>地域性品牌，注入地域特色文化，</w:t>
      </w:r>
      <w:r>
        <w:rPr>
          <w:rFonts w:hint="eastAsia"/>
          <w:b w:val="0"/>
          <w:bCs/>
        </w:rPr>
        <w:t>打造云南省白酒核心主产区。</w:t>
      </w:r>
    </w:p>
    <w:p>
      <w:pPr>
        <w:rPr>
          <w:b w:val="0"/>
          <w:bCs/>
        </w:rPr>
      </w:pPr>
      <w:r>
        <w:rPr>
          <w:b w:val="0"/>
          <w:bCs/>
        </w:rPr>
        <w:t>饮料制造：</w:t>
      </w:r>
      <w:r>
        <w:rPr>
          <w:rFonts w:hint="eastAsia"/>
          <w:b w:val="0"/>
          <w:bCs/>
        </w:rPr>
        <w:t>依托当地丰富的原材料资源优势，培育云南达利食品有限公司、云南望天树饮料有限公司、</w:t>
      </w:r>
      <w:r>
        <w:rPr>
          <w:b w:val="0"/>
          <w:bCs/>
        </w:rPr>
        <w:fldChar w:fldCharType="begin"/>
      </w:r>
      <w:r>
        <w:rPr>
          <w:b w:val="0"/>
          <w:bCs/>
        </w:rPr>
        <w:instrText xml:space="preserve"> HYPERLINK "https://hsk.so.com/cd-dc15da57022182d66f9319f4b3f7fe08.html?pa_from=1791" \t "https://www.so.com/_blank" </w:instrText>
      </w:r>
      <w:r>
        <w:rPr>
          <w:b w:val="0"/>
          <w:bCs/>
        </w:rPr>
        <w:fldChar w:fldCharType="separate"/>
      </w:r>
      <w:r>
        <w:rPr>
          <w:rFonts w:hint="eastAsia"/>
          <w:b w:val="0"/>
          <w:bCs/>
        </w:rPr>
        <w:t>云南元江大有为食品有限公司</w:t>
      </w:r>
      <w:r>
        <w:rPr>
          <w:rFonts w:hint="eastAsia"/>
          <w:b w:val="0"/>
          <w:bCs/>
        </w:rPr>
        <w:fldChar w:fldCharType="end"/>
      </w:r>
      <w:r>
        <w:rPr>
          <w:rFonts w:hint="eastAsia"/>
          <w:b w:val="0"/>
          <w:bCs/>
        </w:rPr>
        <w:t>等龙头企业</w:t>
      </w:r>
      <w:r>
        <w:rPr>
          <w:b w:val="0"/>
          <w:bCs/>
        </w:rPr>
        <w:t>，重点发展</w:t>
      </w:r>
      <w:r>
        <w:rPr>
          <w:rFonts w:hint="eastAsia"/>
          <w:b w:val="0"/>
          <w:bCs/>
        </w:rPr>
        <w:t>果汁及果汁饮料、蔬菜汁及蔬菜汁饮料、</w:t>
      </w:r>
      <w:r>
        <w:rPr>
          <w:rFonts w:hint="eastAsia"/>
          <w:b w:val="0"/>
          <w:bCs/>
          <w:szCs w:val="22"/>
        </w:rPr>
        <w:t>植物蛋白饮料、茶饮料等</w:t>
      </w:r>
      <w:r>
        <w:rPr>
          <w:rFonts w:hint="eastAsia"/>
          <w:b w:val="0"/>
          <w:bCs/>
        </w:rPr>
        <w:t>低热量</w:t>
      </w:r>
      <w:r>
        <w:rPr>
          <w:b w:val="0"/>
          <w:bCs/>
        </w:rPr>
        <w:t>高端</w:t>
      </w:r>
      <w:r>
        <w:rPr>
          <w:rFonts w:hint="eastAsia"/>
          <w:b w:val="0"/>
          <w:bCs/>
        </w:rPr>
        <w:t>健康营养</w:t>
      </w:r>
      <w:r>
        <w:rPr>
          <w:b w:val="0"/>
          <w:bCs/>
        </w:rPr>
        <w:t>饮品</w:t>
      </w:r>
      <w:r>
        <w:rPr>
          <w:rFonts w:hint="eastAsia"/>
          <w:b w:val="0"/>
          <w:bCs/>
        </w:rPr>
        <w:t>，积极发展即饮咖啡、运动功能性饮料等产品。</w:t>
      </w:r>
      <w:r>
        <w:rPr>
          <w:b w:val="0"/>
          <w:bCs/>
        </w:rPr>
        <w:t>重点支持企业在产品开发、外观设计、产品包装、市场营销等方面加强创新、引领创意，支持企业采用新工艺、新技术、先进设备延长产业链，开发设计高附加值时尚产品，促进我市饮料</w:t>
      </w:r>
      <w:r>
        <w:rPr>
          <w:rFonts w:hint="eastAsia"/>
          <w:b w:val="0"/>
          <w:bCs/>
        </w:rPr>
        <w:t>制造</w:t>
      </w:r>
      <w:r>
        <w:rPr>
          <w:b w:val="0"/>
          <w:bCs/>
        </w:rPr>
        <w:t>品质优化、质量提升。</w:t>
      </w:r>
    </w:p>
    <w:p>
      <w:pPr>
        <w:pStyle w:val="5"/>
        <w:rPr>
          <w:b w:val="0"/>
          <w:bCs/>
          <w:color w:val="auto"/>
        </w:rPr>
      </w:pPr>
      <w:bookmarkStart w:id="52" w:name="_Toc16117"/>
      <w:bookmarkStart w:id="53" w:name="_Toc15660"/>
      <w:r>
        <w:rPr>
          <w:rFonts w:hint="eastAsia"/>
          <w:b w:val="0"/>
          <w:bCs/>
          <w:color w:val="auto"/>
        </w:rPr>
        <w:t>2. 肉类</w:t>
      </w:r>
      <w:bookmarkEnd w:id="52"/>
      <w:r>
        <w:rPr>
          <w:rFonts w:hint="eastAsia"/>
          <w:b w:val="0"/>
          <w:bCs/>
          <w:color w:val="auto"/>
        </w:rPr>
        <w:t>食品加工</w:t>
      </w:r>
      <w:bookmarkEnd w:id="53"/>
    </w:p>
    <w:p>
      <w:pPr>
        <w:ind w:firstLine="640"/>
        <w:rPr>
          <w:b w:val="0"/>
          <w:bCs/>
        </w:rPr>
      </w:pPr>
      <w:r>
        <w:rPr>
          <w:rFonts w:hint="eastAsia" w:ascii="仿宋" w:hAnsi="仿宋" w:cs="Arial"/>
          <w:b w:val="0"/>
          <w:bCs/>
          <w:szCs w:val="32"/>
        </w:rPr>
        <w:t>以红塔区、峨山县、</w:t>
      </w:r>
      <w:r>
        <w:rPr>
          <w:rFonts w:hint="eastAsia" w:ascii="仿宋" w:hAnsi="仿宋" w:cs="Arial"/>
          <w:b w:val="0"/>
          <w:bCs/>
          <w:color w:val="auto"/>
          <w:szCs w:val="32"/>
        </w:rPr>
        <w:t>新平县为重</w:t>
      </w:r>
      <w:r>
        <w:rPr>
          <w:rFonts w:hint="eastAsia" w:ascii="仿宋" w:hAnsi="仿宋" w:cs="Arial"/>
          <w:b w:val="0"/>
          <w:bCs/>
          <w:szCs w:val="32"/>
        </w:rPr>
        <w:t>点建设畜禽加工基地，</w:t>
      </w:r>
      <w:r>
        <w:rPr>
          <w:b w:val="0"/>
          <w:bCs/>
        </w:rPr>
        <w:t>以市场为导向，</w:t>
      </w:r>
      <w:r>
        <w:rPr>
          <w:rFonts w:ascii="仿宋" w:hAnsi="仿宋" w:cs="Arial"/>
          <w:b w:val="0"/>
          <w:bCs/>
          <w:szCs w:val="32"/>
        </w:rPr>
        <w:t>稳定发展猪肉</w:t>
      </w:r>
      <w:r>
        <w:rPr>
          <w:rFonts w:hint="eastAsia" w:ascii="仿宋" w:hAnsi="仿宋" w:cs="Arial"/>
          <w:b w:val="0"/>
          <w:bCs/>
          <w:szCs w:val="32"/>
        </w:rPr>
        <w:t>、鱼肉</w:t>
      </w:r>
      <w:r>
        <w:rPr>
          <w:rFonts w:ascii="仿宋" w:hAnsi="仿宋" w:cs="Arial"/>
          <w:b w:val="0"/>
          <w:bCs/>
          <w:szCs w:val="32"/>
        </w:rPr>
        <w:t>生产，加快发展牛羊肉生产</w:t>
      </w:r>
      <w:r>
        <w:rPr>
          <w:rFonts w:hint="eastAsia" w:ascii="仿宋" w:hAnsi="仿宋" w:cs="Arial"/>
          <w:b w:val="0"/>
          <w:bCs/>
          <w:szCs w:val="32"/>
        </w:rPr>
        <w:t>，培育云南玉溪凤凰生态食品有限责任公司、</w:t>
      </w:r>
      <w:r>
        <w:rPr>
          <w:b w:val="0"/>
          <w:bCs/>
        </w:rPr>
        <w:fldChar w:fldCharType="begin"/>
      </w:r>
      <w:r>
        <w:rPr>
          <w:b w:val="0"/>
          <w:bCs/>
        </w:rPr>
        <w:instrText xml:space="preserve"> HYPERLINK "https://hsk.so.com/cd-bd37f82c2bdb0cf4b473d4845955ad64.html?pa_from=1791" \t "https://www.so.com/_blank" </w:instrText>
      </w:r>
      <w:r>
        <w:rPr>
          <w:b w:val="0"/>
          <w:bCs/>
        </w:rPr>
        <w:fldChar w:fldCharType="separate"/>
      </w:r>
      <w:r>
        <w:rPr>
          <w:rFonts w:hint="eastAsia" w:ascii="仿宋" w:hAnsi="仿宋" w:cs="Arial"/>
          <w:b w:val="0"/>
          <w:bCs/>
          <w:szCs w:val="32"/>
        </w:rPr>
        <w:t>玉溪市新秀禽业有限公司</w:t>
      </w:r>
      <w:r>
        <w:rPr>
          <w:rFonts w:hint="eastAsia" w:ascii="仿宋" w:hAnsi="仿宋" w:cs="Arial"/>
          <w:b w:val="0"/>
          <w:bCs/>
          <w:szCs w:val="32"/>
        </w:rPr>
        <w:fldChar w:fldCharType="end"/>
      </w:r>
      <w:r>
        <w:rPr>
          <w:b w:val="0"/>
          <w:bCs/>
        </w:rPr>
        <w:t>、</w:t>
      </w:r>
      <w:r>
        <w:rPr>
          <w:rFonts w:hint="eastAsia"/>
          <w:b w:val="0"/>
          <w:bCs/>
        </w:rPr>
        <w:t>云南玉溪华宁宁州香食品有限责任公司</w:t>
      </w:r>
      <w:r>
        <w:rPr>
          <w:b w:val="0"/>
          <w:bCs/>
        </w:rPr>
        <w:t>等</w:t>
      </w:r>
      <w:r>
        <w:rPr>
          <w:rFonts w:hint="eastAsia"/>
          <w:b w:val="0"/>
          <w:bCs/>
        </w:rPr>
        <w:t>龙头企业</w:t>
      </w:r>
      <w:r>
        <w:rPr>
          <w:b w:val="0"/>
          <w:bCs/>
        </w:rPr>
        <w:t>，重点发展精品分割肉制品、低温肉制品、生鲜调理肉制品、速冻调理肉制品</w:t>
      </w:r>
      <w:r>
        <w:rPr>
          <w:b w:val="0"/>
          <w:bCs/>
          <w:color w:val="auto"/>
        </w:rPr>
        <w:t>、</w:t>
      </w:r>
      <w:r>
        <w:rPr>
          <w:rFonts w:hint="eastAsia"/>
          <w:b w:val="0"/>
          <w:bCs/>
          <w:color w:val="auto"/>
        </w:rPr>
        <w:t>即食熟肉精制品、传统特色肉制品</w:t>
      </w:r>
      <w:r>
        <w:rPr>
          <w:b w:val="0"/>
          <w:bCs/>
          <w:color w:val="auto"/>
        </w:rPr>
        <w:t>等高附加值产品</w:t>
      </w:r>
      <w:r>
        <w:rPr>
          <w:rFonts w:hint="eastAsia"/>
          <w:b w:val="0"/>
          <w:bCs/>
          <w:color w:val="auto"/>
        </w:rPr>
        <w:t>，引导</w:t>
      </w:r>
      <w:r>
        <w:rPr>
          <w:rFonts w:ascii="仿宋" w:hAnsi="仿宋" w:cs="Arial"/>
          <w:b w:val="0"/>
          <w:bCs/>
          <w:color w:val="auto"/>
          <w:szCs w:val="32"/>
        </w:rPr>
        <w:t>澄江</w:t>
      </w:r>
      <w:r>
        <w:rPr>
          <w:rFonts w:hint="eastAsia" w:ascii="仿宋" w:hAnsi="仿宋" w:cs="Arial"/>
          <w:b w:val="0"/>
          <w:bCs/>
          <w:color w:val="auto"/>
          <w:szCs w:val="32"/>
        </w:rPr>
        <w:t>抗浪</w:t>
      </w:r>
      <w:r>
        <w:rPr>
          <w:rFonts w:ascii="仿宋" w:hAnsi="仿宋" w:cs="Arial"/>
          <w:b w:val="0"/>
          <w:bCs/>
          <w:color w:val="auto"/>
          <w:szCs w:val="32"/>
        </w:rPr>
        <w:t>鱼、江</w:t>
      </w:r>
      <w:r>
        <w:rPr>
          <w:rFonts w:ascii="仿宋" w:hAnsi="仿宋" w:cs="Arial"/>
          <w:b w:val="0"/>
          <w:bCs/>
          <w:szCs w:val="32"/>
        </w:rPr>
        <w:t>川大头鱼</w:t>
      </w:r>
      <w:r>
        <w:rPr>
          <w:rFonts w:hint="eastAsia" w:ascii="仿宋" w:hAnsi="仿宋" w:cs="Arial"/>
          <w:b w:val="0"/>
          <w:bCs/>
          <w:szCs w:val="32"/>
        </w:rPr>
        <w:t>、</w:t>
      </w:r>
      <w:r>
        <w:rPr>
          <w:b w:val="0"/>
          <w:bCs/>
        </w:rPr>
        <w:t>大营街烤鸭等</w:t>
      </w:r>
      <w:r>
        <w:rPr>
          <w:rFonts w:hint="eastAsia"/>
          <w:b w:val="0"/>
          <w:bCs/>
        </w:rPr>
        <w:t>地方</w:t>
      </w:r>
      <w:r>
        <w:rPr>
          <w:b w:val="0"/>
          <w:bCs/>
        </w:rPr>
        <w:t>传统的肉类特产产业化发展。</w:t>
      </w:r>
      <w:r>
        <w:rPr>
          <w:rFonts w:hint="eastAsia"/>
          <w:b w:val="0"/>
          <w:bCs/>
        </w:rPr>
        <w:t>鲜肉制品向预冻肉、小包装、细分割方向发展，熟肉制品向多品种、系列化、全营养、精包装、易储存方向发展。</w:t>
      </w:r>
    </w:p>
    <w:p>
      <w:pPr>
        <w:pStyle w:val="5"/>
        <w:rPr>
          <w:b w:val="0"/>
          <w:bCs/>
        </w:rPr>
      </w:pPr>
      <w:bookmarkStart w:id="54" w:name="_Toc25536"/>
      <w:bookmarkStart w:id="55" w:name="_Toc411"/>
      <w:r>
        <w:rPr>
          <w:rFonts w:hint="eastAsia"/>
          <w:b w:val="0"/>
          <w:bCs/>
        </w:rPr>
        <w:t>3.</w:t>
      </w:r>
      <w:r>
        <w:rPr>
          <w:b w:val="0"/>
          <w:bCs/>
        </w:rPr>
        <w:t xml:space="preserve"> </w:t>
      </w:r>
      <w:r>
        <w:rPr>
          <w:rFonts w:hint="eastAsia"/>
          <w:b w:val="0"/>
          <w:bCs/>
        </w:rPr>
        <w:t>酱菜调味品</w:t>
      </w:r>
      <w:r>
        <w:rPr>
          <w:rFonts w:hint="eastAsia"/>
          <w:b w:val="0"/>
          <w:bCs/>
          <w:lang w:val="en-US" w:eastAsia="zh-CN"/>
        </w:rPr>
        <w:t>及</w:t>
      </w:r>
      <w:r>
        <w:rPr>
          <w:rFonts w:hint="eastAsia"/>
          <w:b w:val="0"/>
          <w:bCs/>
        </w:rPr>
        <w:t>食品添加剂</w:t>
      </w:r>
      <w:bookmarkEnd w:id="54"/>
      <w:bookmarkEnd w:id="55"/>
    </w:p>
    <w:p>
      <w:pPr>
        <w:pStyle w:val="10"/>
        <w:spacing w:after="0"/>
        <w:ind w:left="0" w:leftChars="0"/>
        <w:rPr>
          <w:b w:val="0"/>
          <w:bCs/>
          <w:szCs w:val="22"/>
        </w:rPr>
      </w:pPr>
      <w:r>
        <w:rPr>
          <w:rFonts w:hint="eastAsia"/>
          <w:b w:val="0"/>
          <w:bCs/>
          <w:szCs w:val="22"/>
        </w:rPr>
        <w:t>酱菜调味品：</w:t>
      </w:r>
      <w:r>
        <w:rPr>
          <w:rFonts w:hint="eastAsia"/>
          <w:b w:val="0"/>
          <w:bCs/>
        </w:rPr>
        <w:t>培育云南宏斌绿色食品集团有限公司、云南阳光食品有限公司</w:t>
      </w:r>
      <w:r>
        <w:rPr>
          <w:rFonts w:hint="eastAsia" w:ascii="仿宋" w:hAnsi="仿宋" w:cs="Arial"/>
          <w:b w:val="0"/>
          <w:bCs/>
          <w:szCs w:val="32"/>
        </w:rPr>
        <w:t>等龙头企业，</w:t>
      </w:r>
      <w:r>
        <w:rPr>
          <w:rFonts w:hint="eastAsia"/>
          <w:b w:val="0"/>
          <w:bCs/>
        </w:rPr>
        <w:t>重点发展酱腌菜系列产品、辣椒系列产品、洋芋系列产品、食用菌系列产品，构建产地、贮运发酵蔬菜原材料处理体系；建设云南自有蔬菜发酵菌种库；建立国内先进水平的发酵工艺精准控制生产技术体系；研发系列发酵蔬菜产品，提高产品口感和健康度。培育云南江川卓一食品有限公司</w:t>
      </w:r>
      <w:r>
        <w:rPr>
          <w:rFonts w:hint="eastAsia" w:ascii="仿宋" w:hAnsi="仿宋" w:cs="Arial"/>
          <w:b w:val="0"/>
          <w:bCs/>
          <w:szCs w:val="32"/>
        </w:rPr>
        <w:t>、云南妈姆调味品开发有限公司等龙头企业，</w:t>
      </w:r>
      <w:r>
        <w:rPr>
          <w:rFonts w:hint="eastAsia"/>
          <w:b w:val="0"/>
          <w:bCs/>
          <w:szCs w:val="22"/>
        </w:rPr>
        <w:t>重点发展复合香辛料、方便即食汤料、风味菜肴底料、骨素、糖醇类产品等，实现天然香辛料与传统酿造调味品制造的融合。积极推广高端餐饮调味料、礼品调味品，提高产品附加值，提升调味品优势产品规模与核心竞争力。</w:t>
      </w:r>
    </w:p>
    <w:p>
      <w:pPr>
        <w:pStyle w:val="10"/>
        <w:spacing w:after="0"/>
        <w:ind w:left="0" w:leftChars="0"/>
        <w:rPr>
          <w:b w:val="0"/>
          <w:bCs/>
          <w:szCs w:val="22"/>
        </w:rPr>
      </w:pPr>
      <w:r>
        <w:rPr>
          <w:rFonts w:hint="eastAsia"/>
          <w:b w:val="0"/>
          <w:bCs/>
          <w:szCs w:val="22"/>
        </w:rPr>
        <w:t>食品添加剂：</w:t>
      </w:r>
      <w:r>
        <w:rPr>
          <w:rFonts w:hint="eastAsia"/>
          <w:b w:val="0"/>
          <w:bCs/>
          <w:szCs w:val="22"/>
        </w:rPr>
        <w:t>加强发展具有地方特色的天然、功能性食品添加剂，重点开发以鲜花、果蔬为原料的色素、香料等天然食品添加剂；</w:t>
      </w:r>
      <w:r>
        <w:rPr>
          <w:rFonts w:hint="eastAsia"/>
          <w:b w:val="0"/>
          <w:bCs/>
          <w:szCs w:val="22"/>
        </w:rPr>
        <w:t>开发高活力新型酶制剂、营养强化剂、天然防腐剂、品质改良剂、乳化增稠剂等天然系列产品。</w:t>
      </w:r>
    </w:p>
    <w:p>
      <w:pPr>
        <w:pStyle w:val="4"/>
        <w:rPr>
          <w:b w:val="0"/>
          <w:bCs/>
        </w:rPr>
      </w:pPr>
      <w:bookmarkStart w:id="56" w:name="_Toc26909"/>
      <w:r>
        <w:rPr>
          <w:rFonts w:hint="eastAsia"/>
          <w:b w:val="0"/>
          <w:bCs/>
        </w:rPr>
        <w:t>（三）做大时尚消费产业</w:t>
      </w:r>
      <w:bookmarkEnd w:id="56"/>
    </w:p>
    <w:p>
      <w:pPr>
        <w:pStyle w:val="5"/>
        <w:rPr>
          <w:b w:val="0"/>
          <w:bCs/>
        </w:rPr>
      </w:pPr>
      <w:bookmarkStart w:id="57" w:name="_Toc5467"/>
      <w:bookmarkStart w:id="58" w:name="_Toc415"/>
      <w:r>
        <w:rPr>
          <w:rFonts w:hint="eastAsia"/>
          <w:b w:val="0"/>
          <w:bCs/>
        </w:rPr>
        <w:t>1.</w:t>
      </w:r>
      <w:r>
        <w:rPr>
          <w:rFonts w:ascii="仿宋" w:hAnsi="仿宋" w:cs="Arial"/>
          <w:b w:val="0"/>
          <w:bCs/>
          <w:szCs w:val="32"/>
        </w:rPr>
        <w:t xml:space="preserve"> 烘焙食品与</w:t>
      </w:r>
      <w:r>
        <w:rPr>
          <w:rFonts w:hint="eastAsia" w:ascii="仿宋" w:hAnsi="仿宋" w:cs="Arial"/>
          <w:b w:val="0"/>
          <w:bCs/>
          <w:szCs w:val="32"/>
        </w:rPr>
        <w:t>制糖</w:t>
      </w:r>
      <w:bookmarkEnd w:id="57"/>
      <w:bookmarkEnd w:id="58"/>
    </w:p>
    <w:p>
      <w:pPr>
        <w:widowControl/>
        <w:shd w:val="clear" w:color="auto" w:fill="FFFFFF"/>
        <w:jc w:val="left"/>
        <w:rPr>
          <w:b w:val="0"/>
          <w:bCs/>
        </w:rPr>
      </w:pPr>
      <w:r>
        <w:rPr>
          <w:rFonts w:hint="eastAsia"/>
          <w:b w:val="0"/>
          <w:bCs/>
        </w:rPr>
        <w:t>烘焙食品：培育云南达利食品有限公司、</w:t>
      </w:r>
      <w:r>
        <w:rPr>
          <w:b w:val="0"/>
          <w:bCs/>
        </w:rPr>
        <w:fldChar w:fldCharType="begin"/>
      </w:r>
      <w:r>
        <w:rPr>
          <w:b w:val="0"/>
          <w:bCs/>
        </w:rPr>
        <w:instrText xml:space="preserve"> HYPERLINK "https://hsk.so.com/cd-4d0e5a1cb52a4e496afc9f86a29a22ed.html?pa_from=1791" \t "https://www.so.com/_blank" </w:instrText>
      </w:r>
      <w:r>
        <w:rPr>
          <w:b w:val="0"/>
          <w:bCs/>
        </w:rPr>
        <w:fldChar w:fldCharType="separate"/>
      </w:r>
      <w:r>
        <w:rPr>
          <w:rFonts w:hint="eastAsia"/>
          <w:b w:val="0"/>
          <w:bCs/>
        </w:rPr>
        <w:t>玉溪市张记皇冠食品有限公司</w:t>
      </w:r>
      <w:r>
        <w:rPr>
          <w:rFonts w:hint="eastAsia"/>
          <w:b w:val="0"/>
          <w:bCs/>
        </w:rPr>
        <w:fldChar w:fldCharType="end"/>
      </w:r>
      <w:r>
        <w:rPr>
          <w:rFonts w:hint="eastAsia"/>
          <w:b w:val="0"/>
          <w:bCs/>
        </w:rPr>
        <w:t>、云南猫哆哩集团食品有限责任公司、云南省通海斯贝佳食品有限公司、玉溪丫眯绿色休闲食品有限公司等一批糕点、糖果生产企业，提高新产品研发能力、企业生产效益和资源综合利用率。重点发展低脂肪、低糖、低盐、高蛋白烘焙食品以及以鲜花为主的系列烘焙食品。创新推广</w:t>
      </w:r>
      <w:r>
        <w:rPr>
          <w:rFonts w:hint="eastAsia" w:ascii="仿宋" w:hAnsi="仿宋" w:cs="Arial"/>
          <w:b w:val="0"/>
          <w:bCs/>
          <w:color w:val="auto"/>
          <w:szCs w:val="32"/>
          <w:lang w:eastAsia="zh-CN"/>
        </w:rPr>
        <w:t>以</w:t>
      </w:r>
      <w:r>
        <w:rPr>
          <w:rFonts w:hint="eastAsia"/>
          <w:b w:val="0"/>
          <w:bCs/>
          <w:color w:val="auto"/>
        </w:rPr>
        <w:t>地方农产品为原料的零食类食品；研发推广以谷物为原料</w:t>
      </w:r>
      <w:r>
        <w:rPr>
          <w:rFonts w:hint="eastAsia"/>
          <w:b w:val="0"/>
          <w:bCs/>
        </w:rPr>
        <w:t>的早餐麦片、玉米片、糕点等即食系列产品，拓展针对旅游、航空、高铁等细分市场的膨化类、烘焙类食品，加快发展薯片薯条、山药片等休闲零食。</w:t>
      </w:r>
    </w:p>
    <w:p>
      <w:pPr>
        <w:rPr>
          <w:b w:val="0"/>
          <w:bCs/>
        </w:rPr>
      </w:pPr>
      <w:r>
        <w:rPr>
          <w:rFonts w:hint="eastAsia"/>
          <w:b w:val="0"/>
          <w:bCs/>
        </w:rPr>
        <w:t>制糖：</w:t>
      </w:r>
      <w:r>
        <w:rPr>
          <w:b w:val="0"/>
          <w:bCs/>
        </w:rPr>
        <w:t>大力</w:t>
      </w:r>
      <w:r>
        <w:rPr>
          <w:rFonts w:hint="eastAsia"/>
          <w:b w:val="0"/>
          <w:bCs/>
        </w:rPr>
        <w:t>发展</w:t>
      </w:r>
      <w:r>
        <w:rPr>
          <w:b w:val="0"/>
          <w:bCs/>
        </w:rPr>
        <w:t>新型制糖、食糖深加工、糖生物工程产品加工</w:t>
      </w:r>
      <w:r>
        <w:rPr>
          <w:rFonts w:hint="eastAsia"/>
          <w:b w:val="0"/>
          <w:bCs/>
        </w:rPr>
        <w:t>制造，</w:t>
      </w:r>
      <w:r>
        <w:rPr>
          <w:b w:val="0"/>
          <w:bCs/>
        </w:rPr>
        <w:t>加快以蔗糖为原料的高附加值产品的研发和生产，发展低聚果糖、甘露醇、结晶果糖等蔗糖深加工产品，拓展蔗糖在医药、化工领域的应用。</w:t>
      </w:r>
      <w:r>
        <w:rPr>
          <w:rFonts w:hint="eastAsia"/>
          <w:b w:val="0"/>
          <w:bCs/>
        </w:rPr>
        <w:t>加大甘蔗渣的资源综合利用，发展造纸及食用菌种植辅料等。</w:t>
      </w:r>
    </w:p>
    <w:p>
      <w:pPr>
        <w:pStyle w:val="5"/>
        <w:rPr>
          <w:b w:val="0"/>
          <w:bCs/>
        </w:rPr>
      </w:pPr>
      <w:bookmarkStart w:id="59" w:name="_Toc24452"/>
      <w:bookmarkStart w:id="60" w:name="_Toc9410"/>
      <w:r>
        <w:rPr>
          <w:rFonts w:hint="eastAsia"/>
          <w:b w:val="0"/>
          <w:bCs/>
        </w:rPr>
        <w:t>2. 营养及保健食品制造</w:t>
      </w:r>
      <w:bookmarkEnd w:id="59"/>
      <w:bookmarkEnd w:id="60"/>
    </w:p>
    <w:p>
      <w:pPr>
        <w:ind w:firstLine="640"/>
        <w:rPr>
          <w:b w:val="0"/>
          <w:bCs/>
        </w:rPr>
      </w:pPr>
      <w:r>
        <w:rPr>
          <w:rFonts w:hint="eastAsia"/>
          <w:b w:val="0"/>
          <w:bCs/>
        </w:rPr>
        <w:t>培育云南德春绿色食品有限公司、云南易门山里香食品有限责任公司、</w:t>
      </w:r>
      <w:r>
        <w:rPr>
          <w:b w:val="0"/>
          <w:bCs/>
        </w:rPr>
        <w:fldChar w:fldCharType="begin"/>
      </w:r>
      <w:r>
        <w:rPr>
          <w:b w:val="0"/>
          <w:bCs/>
        </w:rPr>
        <w:instrText xml:space="preserve"> HYPERLINK "https://shuidi.cn/company-4e9a6d9b1a8b4d178ae3f98b87c0db16.html?from_search=1" \t "https://shuidi.cn/_blank" </w:instrText>
      </w:r>
      <w:r>
        <w:rPr>
          <w:b w:val="0"/>
          <w:bCs/>
        </w:rPr>
        <w:fldChar w:fldCharType="separate"/>
      </w:r>
      <w:r>
        <w:rPr>
          <w:rFonts w:hint="eastAsia"/>
          <w:b w:val="0"/>
          <w:bCs/>
        </w:rPr>
        <w:t>云南万绿生物股份有限公司</w:t>
      </w:r>
      <w:r>
        <w:rPr>
          <w:rFonts w:hint="eastAsia"/>
          <w:b w:val="0"/>
          <w:bCs/>
        </w:rPr>
        <w:fldChar w:fldCharType="end"/>
      </w:r>
      <w:r>
        <w:rPr>
          <w:rFonts w:hint="eastAsia"/>
          <w:b w:val="0"/>
          <w:bCs/>
        </w:rPr>
        <w:t>等龙头企业，</w:t>
      </w:r>
      <w:r>
        <w:rPr>
          <w:b w:val="0"/>
          <w:bCs/>
        </w:rPr>
        <w:t>加快发展提高免疫功能的多糖、低聚糖类</w:t>
      </w:r>
      <w:r>
        <w:rPr>
          <w:rFonts w:hint="eastAsia"/>
          <w:b w:val="0"/>
          <w:bCs/>
        </w:rPr>
        <w:t>食品；</w:t>
      </w:r>
      <w:r>
        <w:rPr>
          <w:b w:val="0"/>
          <w:bCs/>
        </w:rPr>
        <w:t>发展改善记忆、延缓衰老、调节血脂血压、抗疲劳功能食品</w:t>
      </w:r>
      <w:r>
        <w:rPr>
          <w:rFonts w:hint="eastAsia"/>
          <w:b w:val="0"/>
          <w:bCs/>
        </w:rPr>
        <w:t>；重点开发藕粉系列产品、芦荟系列产品、金耳露系列产品、菊芋系列产品。</w:t>
      </w:r>
      <w:r>
        <w:rPr>
          <w:b w:val="0"/>
          <w:bCs/>
        </w:rPr>
        <w:t>依托我市丰富的药食同源或可用于保健食品的中药材资源，借助中药材加工及中药饮片制造企业，大力发展</w:t>
      </w:r>
      <w:r>
        <w:rPr>
          <w:rFonts w:hint="eastAsia"/>
          <w:b w:val="0"/>
          <w:bCs/>
        </w:rPr>
        <w:t>药食同源</w:t>
      </w:r>
      <w:r>
        <w:rPr>
          <w:b w:val="0"/>
          <w:bCs/>
        </w:rPr>
        <w:t>营养及保健食品制造业。</w:t>
      </w:r>
    </w:p>
    <w:p>
      <w:pPr>
        <w:pStyle w:val="4"/>
        <w:rPr>
          <w:b w:val="0"/>
          <w:bCs/>
        </w:rPr>
      </w:pPr>
      <w:bookmarkStart w:id="61" w:name="_Toc17623"/>
      <w:r>
        <w:rPr>
          <w:rFonts w:hint="eastAsia"/>
          <w:b w:val="0"/>
          <w:bCs/>
        </w:rPr>
        <w:t>（四）</w:t>
      </w:r>
      <w:r>
        <w:rPr>
          <w:b w:val="0"/>
          <w:bCs/>
        </w:rPr>
        <w:t>积极</w:t>
      </w:r>
      <w:r>
        <w:rPr>
          <w:rFonts w:hint="eastAsia"/>
          <w:b w:val="0"/>
          <w:bCs/>
        </w:rPr>
        <w:t>开拓关联产业</w:t>
      </w:r>
      <w:bookmarkEnd w:id="61"/>
    </w:p>
    <w:p>
      <w:pPr>
        <w:pStyle w:val="5"/>
        <w:rPr>
          <w:b w:val="0"/>
          <w:bCs/>
        </w:rPr>
      </w:pPr>
      <w:bookmarkStart w:id="62" w:name="_Toc23679"/>
      <w:bookmarkStart w:id="63" w:name="_Toc6578"/>
      <w:r>
        <w:rPr>
          <w:rFonts w:hint="eastAsia"/>
          <w:b w:val="0"/>
          <w:bCs/>
        </w:rPr>
        <w:t xml:space="preserve">1. </w:t>
      </w:r>
      <w:r>
        <w:rPr>
          <w:b w:val="0"/>
          <w:bCs/>
        </w:rPr>
        <w:t>原材料基地建设</w:t>
      </w:r>
      <w:bookmarkEnd w:id="62"/>
      <w:bookmarkEnd w:id="63"/>
    </w:p>
    <w:p>
      <w:pPr>
        <w:ind w:firstLine="640"/>
        <w:rPr>
          <w:b w:val="0"/>
          <w:bCs/>
        </w:rPr>
      </w:pPr>
      <w:r>
        <w:rPr>
          <w:rFonts w:hint="eastAsia"/>
          <w:b w:val="0"/>
          <w:bCs/>
        </w:rPr>
        <w:t>在原材料基地建设上，针对玉溪人多地少的实际情况，立足本省，放眼全国乃至南亚东南亚地区，坚持“种外面的土地，做自己的品牌、销全球的市场”，</w:t>
      </w:r>
      <w:r>
        <w:rPr>
          <w:b w:val="0"/>
          <w:bCs/>
        </w:rPr>
        <w:t>进一步</w:t>
      </w:r>
      <w:r>
        <w:rPr>
          <w:rFonts w:hint="eastAsia"/>
          <w:b w:val="0"/>
          <w:bCs/>
        </w:rPr>
        <w:t>强化</w:t>
      </w:r>
      <w:r>
        <w:rPr>
          <w:b w:val="0"/>
          <w:bCs/>
        </w:rPr>
        <w:t>优质种养殖基地建设，实现原料生产基地化、规模化、良种化、专用化，保</w:t>
      </w:r>
      <w:r>
        <w:rPr>
          <w:b w:val="0"/>
          <w:bCs/>
          <w:color w:val="auto"/>
        </w:rPr>
        <w:t>证</w:t>
      </w:r>
      <w:r>
        <w:rPr>
          <w:rFonts w:hint="eastAsia"/>
          <w:b w:val="0"/>
          <w:bCs/>
          <w:color w:val="auto"/>
        </w:rPr>
        <w:t>绿色食</w:t>
      </w:r>
      <w:r>
        <w:rPr>
          <w:rFonts w:hint="eastAsia"/>
          <w:b w:val="0"/>
          <w:bCs/>
        </w:rPr>
        <w:t>品制造业</w:t>
      </w:r>
      <w:r>
        <w:rPr>
          <w:b w:val="0"/>
          <w:bCs/>
        </w:rPr>
        <w:t>的原料需求。加快企业从单纯加工生产为主的“橄榄型”向以原料及市场为主的“哑铃型”转变，实现以</w:t>
      </w:r>
      <w:r>
        <w:rPr>
          <w:rFonts w:hint="eastAsia"/>
          <w:b w:val="0"/>
          <w:bCs/>
        </w:rPr>
        <w:t>绿色食品制造业</w:t>
      </w:r>
      <w:r>
        <w:rPr>
          <w:b w:val="0"/>
          <w:bCs/>
        </w:rPr>
        <w:t>为龙头，融合、衔接和畅通的“农业生产-农产品-</w:t>
      </w:r>
      <w:r>
        <w:rPr>
          <w:rFonts w:hint="eastAsia"/>
          <w:b w:val="0"/>
          <w:bCs/>
        </w:rPr>
        <w:t>绿色食品制造</w:t>
      </w:r>
      <w:r>
        <w:rPr>
          <w:b w:val="0"/>
          <w:bCs/>
        </w:rPr>
        <w:t>生产-流通-消费市场”的食品产业链，加强农工结合、行业联合、产销融合，促进区域板块经济整合发展，不断强化食品产业的聚集核心作用。采用先进种植、养殖技术，加大加工专用品种</w:t>
      </w:r>
      <w:r>
        <w:rPr>
          <w:rFonts w:hint="eastAsia"/>
          <w:b w:val="0"/>
          <w:bCs/>
        </w:rPr>
        <w:t>、市场需求大品种</w:t>
      </w:r>
      <w:r>
        <w:rPr>
          <w:b w:val="0"/>
          <w:bCs/>
        </w:rPr>
        <w:t>的引进、选育和推广力度，加强农民技术培训，发展绿色农业、有机农业</w:t>
      </w:r>
      <w:r>
        <w:rPr>
          <w:rFonts w:hint="eastAsia"/>
          <w:b w:val="0"/>
          <w:bCs/>
        </w:rPr>
        <w:t>。以产业化经营为基础，形成种养殖规模化、标准化，集中度与可控性较高的原材料供应系统，</w:t>
      </w:r>
      <w:r>
        <w:rPr>
          <w:b w:val="0"/>
          <w:bCs/>
        </w:rPr>
        <w:t>为食品安全提供原料保障。</w:t>
      </w:r>
    </w:p>
    <w:p>
      <w:pPr>
        <w:pStyle w:val="5"/>
        <w:rPr>
          <w:b w:val="0"/>
          <w:bCs/>
        </w:rPr>
      </w:pPr>
      <w:bookmarkStart w:id="64" w:name="_Toc29101"/>
      <w:bookmarkStart w:id="65" w:name="_Toc23553"/>
      <w:r>
        <w:rPr>
          <w:rFonts w:hint="eastAsia"/>
          <w:b w:val="0"/>
          <w:bCs/>
        </w:rPr>
        <w:t xml:space="preserve">2. </w:t>
      </w:r>
      <w:r>
        <w:rPr>
          <w:b w:val="0"/>
          <w:bCs/>
        </w:rPr>
        <w:t>冷链物流产业</w:t>
      </w:r>
      <w:bookmarkEnd w:id="64"/>
      <w:bookmarkEnd w:id="65"/>
    </w:p>
    <w:p>
      <w:pPr>
        <w:ind w:firstLine="640"/>
        <w:rPr>
          <w:b w:val="0"/>
          <w:bCs/>
          <w:color w:val="auto"/>
        </w:rPr>
      </w:pPr>
      <w:r>
        <w:rPr>
          <w:rFonts w:hint="eastAsia"/>
          <w:b w:val="0"/>
          <w:bCs/>
          <w:color w:val="auto"/>
        </w:rPr>
        <w:t>发展冷链物流产业，建设覆盖主产地和销地的农产品加工和冷链物流基础设施，不断扩大冷库、冷藏车数量规模，持续提升自动化、智能化与节能水平，鼓励企业从运输型、仓储型、配送型向综合型、供应链型等经营模式转变，努力建设集生产、仓储、运输、销售、配送于一体的食品安全温控供应链体系，打造面向南亚东南亚农产品出口中心。</w:t>
      </w:r>
    </w:p>
    <w:p>
      <w:pPr>
        <w:pStyle w:val="5"/>
        <w:rPr>
          <w:b w:val="0"/>
          <w:bCs/>
        </w:rPr>
      </w:pPr>
      <w:bookmarkStart w:id="66" w:name="_Toc29151"/>
      <w:bookmarkStart w:id="67" w:name="_Toc17571"/>
      <w:r>
        <w:rPr>
          <w:rFonts w:hint="eastAsia"/>
          <w:b w:val="0"/>
          <w:bCs/>
        </w:rPr>
        <w:t xml:space="preserve">3. </w:t>
      </w:r>
      <w:r>
        <w:rPr>
          <w:b w:val="0"/>
          <w:bCs/>
        </w:rPr>
        <w:t>包装印刷产业</w:t>
      </w:r>
      <w:bookmarkEnd w:id="66"/>
      <w:bookmarkEnd w:id="67"/>
    </w:p>
    <w:p>
      <w:pPr>
        <w:ind w:firstLine="640"/>
        <w:rPr>
          <w:b w:val="0"/>
          <w:bCs/>
        </w:rPr>
      </w:pPr>
      <w:r>
        <w:rPr>
          <w:rFonts w:hint="eastAsia"/>
          <w:b w:val="0"/>
          <w:bCs/>
        </w:rPr>
        <w:t>加快研发延长食品保质期、方便携带、款式新颖、绿色健康的食品包装技术和材料，研发提高生产率、自动化、单机多功能的食品机械，积极拓展与食品相关的专用工具容器、洗涤剂、消毒剂等领域，为玉溪市绿色食品制造业发展提供配套服务和支撑条件。</w:t>
      </w:r>
    </w:p>
    <w:p>
      <w:pPr>
        <w:pStyle w:val="5"/>
        <w:rPr>
          <w:b w:val="0"/>
          <w:bCs/>
        </w:rPr>
      </w:pPr>
      <w:bookmarkStart w:id="68" w:name="_Toc31631"/>
      <w:bookmarkStart w:id="69" w:name="_Toc15859"/>
      <w:r>
        <w:rPr>
          <w:rFonts w:hint="eastAsia"/>
          <w:b w:val="0"/>
          <w:bCs/>
        </w:rPr>
        <w:t xml:space="preserve">4. </w:t>
      </w:r>
      <w:r>
        <w:rPr>
          <w:b w:val="0"/>
          <w:bCs/>
        </w:rPr>
        <w:t>工业旅游产业</w:t>
      </w:r>
      <w:bookmarkEnd w:id="68"/>
      <w:bookmarkEnd w:id="69"/>
    </w:p>
    <w:p>
      <w:pPr>
        <w:ind w:firstLine="640"/>
        <w:rPr>
          <w:rFonts w:hint="eastAsia"/>
          <w:b w:val="0"/>
          <w:bCs/>
        </w:rPr>
      </w:pPr>
      <w:r>
        <w:rPr>
          <w:rFonts w:hint="eastAsia"/>
          <w:b w:val="0"/>
          <w:bCs/>
        </w:rPr>
        <w:t>鼓励企业树立生态、绿色、环保的发展理念，充分挖掘食品文化内涵，促进绿色食品制造业与现代都市观光旅游相互融合、协同发展。鼓励企业争创国家工业旅游示范点，推动绿色食品制造业旅游产业快速发展。</w:t>
      </w:r>
      <w:bookmarkStart w:id="70" w:name="_Toc6033"/>
    </w:p>
    <w:p>
      <w:pPr>
        <w:pStyle w:val="3"/>
        <w:ind w:firstLine="723"/>
        <w:rPr>
          <w:b w:val="0"/>
          <w:bCs/>
        </w:rPr>
      </w:pPr>
      <w:r>
        <w:rPr>
          <w:rFonts w:hint="eastAsia"/>
          <w:b w:val="0"/>
          <w:bCs/>
        </w:rPr>
        <w:t>五、主要任务</w:t>
      </w:r>
      <w:bookmarkEnd w:id="70"/>
    </w:p>
    <w:p>
      <w:pPr>
        <w:pStyle w:val="4"/>
        <w:rPr>
          <w:b w:val="0"/>
          <w:bCs/>
        </w:rPr>
      </w:pPr>
      <w:bookmarkStart w:id="71" w:name="_Toc1926"/>
      <w:r>
        <w:rPr>
          <w:rFonts w:hint="eastAsia"/>
          <w:b w:val="0"/>
          <w:bCs/>
        </w:rPr>
        <w:t>（一）</w:t>
      </w:r>
      <w:r>
        <w:rPr>
          <w:b w:val="0"/>
          <w:bCs/>
        </w:rPr>
        <w:t>加大招商力度，强化项目</w:t>
      </w:r>
      <w:r>
        <w:rPr>
          <w:rFonts w:hint="eastAsia"/>
          <w:b w:val="0"/>
          <w:bCs/>
        </w:rPr>
        <w:t>支撑</w:t>
      </w:r>
      <w:bookmarkEnd w:id="71"/>
    </w:p>
    <w:p>
      <w:pPr>
        <w:pStyle w:val="5"/>
        <w:rPr>
          <w:b w:val="0"/>
          <w:bCs/>
        </w:rPr>
      </w:pPr>
      <w:bookmarkStart w:id="72" w:name="_Toc24105"/>
      <w:bookmarkStart w:id="73" w:name="_Toc8219"/>
      <w:r>
        <w:rPr>
          <w:rFonts w:hint="eastAsia"/>
          <w:b w:val="0"/>
          <w:bCs/>
        </w:rPr>
        <w:t>1. 强化产业招商</w:t>
      </w:r>
      <w:bookmarkEnd w:id="72"/>
      <w:bookmarkEnd w:id="73"/>
    </w:p>
    <w:p>
      <w:pPr>
        <w:ind w:firstLine="640"/>
        <w:rPr>
          <w:b w:val="0"/>
          <w:bCs/>
        </w:rPr>
      </w:pPr>
      <w:r>
        <w:rPr>
          <w:rFonts w:hint="eastAsia"/>
          <w:b w:val="0"/>
          <w:bCs/>
        </w:rPr>
        <w:t>锁定长三角、泛珠三角、京津冀、港澳台等目标区域以及世界农业、农产品加工业发达国家和地区，瞄准绿色食品行业的世界500强企业、国际知名企业、国民营500强企业，以及国内外农业产业化龙头企业、农产品加工领军企业、关联企业、配套企业和研发机</w:t>
      </w:r>
      <w:r>
        <w:rPr>
          <w:rFonts w:hint="eastAsia"/>
          <w:b w:val="0"/>
          <w:bCs/>
          <w:szCs w:val="22"/>
        </w:rPr>
        <w:t>构，围绕粮油制品加工、果蔬加工、酒及饮料制造、酱菜调味品与食品添加剂等7个重点方向，着眼强链、延链、补链的需要，谋</w:t>
      </w:r>
      <w:r>
        <w:rPr>
          <w:rFonts w:hint="eastAsia"/>
          <w:b w:val="0"/>
          <w:bCs/>
        </w:rPr>
        <w:t>划一批产业关联度高、投资规模大的项目（详见附表3）。提高招商引资的针对性，通过专业化招商、以商招商等多种手段，引进一批带动性强、品牌附加值高的重大项目，培育玉溪市绿色食品制造业的新增长点。</w:t>
      </w:r>
    </w:p>
    <w:p>
      <w:pPr>
        <w:pStyle w:val="5"/>
        <w:rPr>
          <w:b w:val="0"/>
          <w:bCs/>
        </w:rPr>
      </w:pPr>
      <w:bookmarkStart w:id="74" w:name="_Toc20328"/>
      <w:bookmarkStart w:id="75" w:name="_Toc29466"/>
      <w:r>
        <w:rPr>
          <w:rFonts w:hint="eastAsia"/>
          <w:b w:val="0"/>
          <w:bCs/>
        </w:rPr>
        <w:t>2. 推进项目建设</w:t>
      </w:r>
      <w:bookmarkEnd w:id="74"/>
      <w:bookmarkEnd w:id="75"/>
    </w:p>
    <w:p>
      <w:pPr>
        <w:ind w:firstLine="640"/>
        <w:rPr>
          <w:b w:val="0"/>
          <w:bCs/>
        </w:rPr>
      </w:pPr>
      <w:r>
        <w:rPr>
          <w:rFonts w:hint="eastAsia"/>
          <w:b w:val="0"/>
          <w:bCs/>
        </w:rPr>
        <w:t>坚持“一个项目、一个方案、一名领导、一套班子、一抓到底”的项目推进机制，</w:t>
      </w:r>
      <w:r>
        <w:rPr>
          <w:rFonts w:hint="eastAsia"/>
          <w:b w:val="0"/>
          <w:bCs/>
          <w:color w:val="auto"/>
        </w:rPr>
        <w:t>按照“签约项目抓落地，落地项目抓开工，开工项目抓进度”原则</w:t>
      </w:r>
      <w:r>
        <w:rPr>
          <w:rFonts w:hint="eastAsia"/>
          <w:b w:val="0"/>
          <w:bCs/>
        </w:rPr>
        <w:t>，建立重点项目全程服务保障工作机制，对重点项目从信息获取、洽谈、签约、落地、建设经营等各个环节实施全程跟踪服务。全程协助企业办理项目审批、核准或备案、用地预审、环境影响评价等各类审批手续，提高效率，强化保障，做好重点项目的跟踪协调与服务工作，着力解决项目建设中的困难和问题，确保项目按时间节点顺利推进。加快推进云南滇雪粮油有限公司400吨/日食植物精炼项目、云南猫哆哩集团食品有限责任公司云南特色农产品深加工产业园建设项目、云南宏斌绿色食品集团有限公司发酵蔬菜加工关键共性技术研究与产业化示范项目等项目建设，重点推进正大集团项目落地，在通海曲陀关片区投资建设玉溪果蔬产后处理与精深加工中心，在易门县投资建设100万头规模的生猪养殖屠宰加工场，打造全国一流的规模化、标准化示范基地，形成养殖、屠宰、精深加工全产业链。</w:t>
      </w:r>
    </w:p>
    <w:p>
      <w:pPr>
        <w:pStyle w:val="4"/>
        <w:rPr>
          <w:b w:val="0"/>
          <w:bCs/>
        </w:rPr>
      </w:pPr>
      <w:bookmarkStart w:id="76" w:name="_Toc8738"/>
      <w:r>
        <w:rPr>
          <w:rFonts w:hint="eastAsia"/>
          <w:b w:val="0"/>
          <w:bCs/>
        </w:rPr>
        <w:t>（二）</w:t>
      </w:r>
      <w:r>
        <w:rPr>
          <w:b w:val="0"/>
          <w:bCs/>
        </w:rPr>
        <w:t>注重企业培育，促进协调发展</w:t>
      </w:r>
      <w:bookmarkEnd w:id="76"/>
    </w:p>
    <w:p>
      <w:pPr>
        <w:pStyle w:val="5"/>
        <w:rPr>
          <w:b w:val="0"/>
          <w:bCs/>
        </w:rPr>
      </w:pPr>
      <w:bookmarkStart w:id="77" w:name="_Toc9103"/>
      <w:bookmarkStart w:id="78" w:name="_Toc25795"/>
      <w:r>
        <w:rPr>
          <w:rFonts w:hint="eastAsia"/>
          <w:b w:val="0"/>
          <w:bCs/>
        </w:rPr>
        <w:t>1. 培育壮大龙头骨干企业</w:t>
      </w:r>
      <w:bookmarkEnd w:id="77"/>
      <w:bookmarkEnd w:id="78"/>
    </w:p>
    <w:p>
      <w:pPr>
        <w:ind w:firstLine="640"/>
        <w:rPr>
          <w:b w:val="0"/>
          <w:bCs/>
        </w:rPr>
      </w:pPr>
      <w:r>
        <w:rPr>
          <w:rFonts w:hint="eastAsia"/>
          <w:b w:val="0"/>
          <w:bCs/>
        </w:rPr>
        <w:t>加大对重点企业的扶持力度，重点培育一批小巨人企业和单项冠军企业。支持大型企业集团开展资源和产业链整合，通过兼并和股权、资产收购等多种形式，积极实施重组整合，加强并购和投资合作，促进企业规模化、集约化、平台化运营，力争形成若干拥有核心技术、完整产业链、带动力强的企业集团。实施集团化经营和总部经济模式，引导同行业企业强强联合，促进国企与民企互补互促，引进战略投资者，推进企业战略重组与整合，推动要素、资源向优势产业、龙头企业集中，形成产业发展的核心驱动力。</w:t>
      </w:r>
    </w:p>
    <w:p>
      <w:pPr>
        <w:pStyle w:val="5"/>
        <w:rPr>
          <w:b w:val="0"/>
          <w:bCs/>
        </w:rPr>
      </w:pPr>
      <w:bookmarkStart w:id="79" w:name="_Toc3638"/>
      <w:bookmarkStart w:id="80" w:name="_Toc8676"/>
      <w:r>
        <w:rPr>
          <w:rFonts w:hint="eastAsia"/>
          <w:b w:val="0"/>
          <w:bCs/>
        </w:rPr>
        <w:t>2. 促进大中小企业协调发展</w:t>
      </w:r>
      <w:bookmarkEnd w:id="79"/>
      <w:bookmarkEnd w:id="80"/>
    </w:p>
    <w:p>
      <w:pPr>
        <w:ind w:firstLine="640"/>
        <w:rPr>
          <w:b w:val="0"/>
          <w:bCs/>
        </w:rPr>
      </w:pPr>
      <w:r>
        <w:rPr>
          <w:rFonts w:hint="eastAsia"/>
          <w:b w:val="0"/>
          <w:bCs/>
        </w:rPr>
        <w:t>增强大型企业集团的辐射带动力，推动大型企业集团与中小企业开展产业链接，积极引导龙头企业由产品制造商向解决方案提供商转型，整合产业链，致力于发展核心环节，积极发展业务外包，向中小企业延伸产业链和资本链，为配套或协作中小企业提供设计、技术、管理、市场等各种形式的援助和支持，带动中小企业提高专业化配套能力。发挥龙头带动作用、联动作用，鼓励中小企业专注于特定细分产品市场、技术领域和客户需求，持续提升技术和工艺水平，鼓励大中小企业开展更深入的分工协作，实现互利共赢发展，带动中小型企业做大做精，形成各类企业协调发展的良好发展格局。</w:t>
      </w:r>
    </w:p>
    <w:p>
      <w:pPr>
        <w:pStyle w:val="4"/>
        <w:rPr>
          <w:b w:val="0"/>
          <w:bCs/>
        </w:rPr>
      </w:pPr>
      <w:bookmarkStart w:id="81" w:name="_Toc31526"/>
      <w:r>
        <w:rPr>
          <w:rFonts w:hint="eastAsia"/>
          <w:b w:val="0"/>
          <w:bCs/>
        </w:rPr>
        <w:t>（三）</w:t>
      </w:r>
      <w:r>
        <w:rPr>
          <w:b w:val="0"/>
          <w:bCs/>
        </w:rPr>
        <w:t>加快技术创新，推动产业升级</w:t>
      </w:r>
      <w:bookmarkEnd w:id="81"/>
    </w:p>
    <w:p>
      <w:pPr>
        <w:pStyle w:val="5"/>
        <w:rPr>
          <w:b w:val="0"/>
          <w:bCs/>
        </w:rPr>
      </w:pPr>
      <w:bookmarkStart w:id="82" w:name="_Toc25614"/>
      <w:bookmarkStart w:id="83" w:name="_Toc7781"/>
      <w:r>
        <w:rPr>
          <w:rFonts w:hint="eastAsia"/>
          <w:b w:val="0"/>
          <w:bCs/>
        </w:rPr>
        <w:t>1. 突破一批关键技术</w:t>
      </w:r>
      <w:bookmarkEnd w:id="82"/>
      <w:bookmarkEnd w:id="83"/>
    </w:p>
    <w:p>
      <w:pPr>
        <w:ind w:firstLine="640"/>
        <w:rPr>
          <w:b w:val="0"/>
          <w:bCs/>
        </w:rPr>
      </w:pPr>
      <w:r>
        <w:rPr>
          <w:rFonts w:hint="eastAsia"/>
          <w:b w:val="0"/>
          <w:bCs/>
        </w:rPr>
        <w:t>着眼产业发展需要，整合科技创新资源，加快冷杀菌、</w:t>
      </w:r>
      <w:r>
        <w:rPr>
          <w:b w:val="0"/>
          <w:bCs/>
        </w:rPr>
        <w:t>压膨化、超微粉碎、超临界流体、电磁波、欧姆加热、脉冲</w:t>
      </w:r>
      <w:r>
        <w:rPr>
          <w:rFonts w:hint="eastAsia"/>
          <w:b w:val="0"/>
          <w:bCs/>
        </w:rPr>
        <w:t>、食品原料风险因子筛查预警与控制等一批行业关键共性技术的研发和产业化；推广应用肉制品在线检测、油料低温脱脂、果蔬天然保鲜等一批重大关键技术，加快应用先进节能环保技术、新能源技术设施清洁生产，全面提高产业发展水平。</w:t>
      </w:r>
    </w:p>
    <w:p>
      <w:pPr>
        <w:pStyle w:val="5"/>
        <w:rPr>
          <w:b w:val="0"/>
          <w:bCs/>
        </w:rPr>
      </w:pPr>
      <w:bookmarkStart w:id="84" w:name="_Toc23207"/>
      <w:bookmarkStart w:id="85" w:name="_Toc17606"/>
      <w:r>
        <w:rPr>
          <w:rFonts w:hint="eastAsia"/>
          <w:b w:val="0"/>
          <w:bCs/>
        </w:rPr>
        <w:t>2. 完善产业创新体系</w:t>
      </w:r>
      <w:bookmarkEnd w:id="84"/>
      <w:bookmarkEnd w:id="85"/>
    </w:p>
    <w:p>
      <w:pPr>
        <w:ind w:firstLine="640"/>
        <w:rPr>
          <w:b w:val="0"/>
          <w:bCs/>
        </w:rPr>
      </w:pPr>
      <w:r>
        <w:rPr>
          <w:rFonts w:hint="eastAsia"/>
          <w:b w:val="0"/>
          <w:bCs/>
        </w:rPr>
        <w:t>推进以企业为主体，市场为导向，产学研用相</w:t>
      </w:r>
      <w:r>
        <w:rPr>
          <w:rFonts w:hint="eastAsia"/>
          <w:b w:val="0"/>
          <w:bCs/>
          <w:color w:val="auto"/>
        </w:rPr>
        <w:t>结合的绿色食品制造业创新体系建设。鼓励和支持企业加强与</w:t>
      </w:r>
      <w:r>
        <w:rPr>
          <w:rFonts w:hint="eastAsia"/>
          <w:b w:val="0"/>
          <w:bCs/>
        </w:rPr>
        <w:t>省内外高等院校、科研院所开展多层次的科研合作，联合设立研究开发机构、产业技术联盟等技术创新组织。鼓励企业设立技术中心、重点实验室、工业设计中心等创新平台，培育一批国家级、省级技术创新示范企业。支持企业在省外绿色食品制造业技术先进地区设立研发中心，鼓励暂不具备研发能力的企业开展委托研发，提升整体产品开发能力和产品技术含量。</w:t>
      </w:r>
    </w:p>
    <w:p>
      <w:pPr>
        <w:pStyle w:val="4"/>
        <w:rPr>
          <w:b w:val="0"/>
          <w:bCs/>
        </w:rPr>
      </w:pPr>
      <w:bookmarkStart w:id="86" w:name="_Toc2485"/>
      <w:r>
        <w:rPr>
          <w:rFonts w:hint="eastAsia"/>
          <w:b w:val="0"/>
          <w:bCs/>
        </w:rPr>
        <w:t>（四）注重集群发展，形成产业集聚</w:t>
      </w:r>
      <w:bookmarkEnd w:id="86"/>
    </w:p>
    <w:p>
      <w:pPr>
        <w:pStyle w:val="5"/>
        <w:rPr>
          <w:b w:val="0"/>
          <w:bCs/>
        </w:rPr>
      </w:pPr>
      <w:bookmarkStart w:id="87" w:name="_Toc23479"/>
      <w:bookmarkStart w:id="88" w:name="_Toc6499"/>
      <w:r>
        <w:rPr>
          <w:rFonts w:hint="eastAsia"/>
          <w:b w:val="0"/>
          <w:bCs/>
        </w:rPr>
        <w:t>1. 规划建设一批产业发展集聚区</w:t>
      </w:r>
      <w:bookmarkEnd w:id="87"/>
      <w:bookmarkEnd w:id="88"/>
    </w:p>
    <w:p>
      <w:pPr>
        <w:ind w:firstLine="640"/>
        <w:rPr>
          <w:b w:val="0"/>
          <w:bCs/>
        </w:rPr>
      </w:pPr>
      <w:r>
        <w:rPr>
          <w:rFonts w:hint="eastAsia"/>
          <w:b w:val="0"/>
          <w:bCs/>
        </w:rPr>
        <w:t>按照“企业集中布局、产业集群发展、资源集约利用、功能集合构建”的原则，建设一批有示范性、有特色的绿色食品制造集聚区，着力建设和打造生态食品、民族食品、休</w:t>
      </w:r>
      <w:r>
        <w:rPr>
          <w:rFonts w:hint="eastAsia"/>
          <w:b w:val="0"/>
          <w:bCs/>
          <w:color w:val="auto"/>
        </w:rPr>
        <w:t>闲食品集群，力争各县（市、区）建设一个农产品加工中心。以红塔区、峨山县为重点建设粮油加工基地，以红塔区、江川区为重点建设花卉加工基地，以新平县、华宁县、元江县为重点建设水果加工基地，以通海县为重点建设蔬菜加工基地，以红塔区、峨山县为重点建设畜禽加工基地，以易门县为重点建设食用菌、核桃加工基地，以澄江市、新平县为重点建设休闲旅游绿色食品制造基地。加强农产品加工园区规</w:t>
      </w:r>
      <w:r>
        <w:rPr>
          <w:rFonts w:hint="eastAsia"/>
          <w:b w:val="0"/>
          <w:bCs/>
        </w:rPr>
        <w:t>划引导，有条件的县（市、区）尽快启动建设农产品加工园区，暂不具备条件的在工业园区中以“园中园”的方式设立农产品加工园区，重点建设玉溪高新区九龙、澄江九村、通海杨广、易门曾所（六街、梅营）等农产品加工基地，吸引农产品加工企业向基地集聚，</w:t>
      </w:r>
      <w:r>
        <w:rPr>
          <w:b w:val="0"/>
          <w:bCs/>
        </w:rPr>
        <w:t>培育壮大一批特色鲜明、结构优化、产业链完整、服务体系健全和市场竞争力强的产业集群。</w:t>
      </w:r>
    </w:p>
    <w:p>
      <w:pPr>
        <w:pStyle w:val="5"/>
        <w:rPr>
          <w:b w:val="0"/>
          <w:bCs/>
        </w:rPr>
      </w:pPr>
      <w:bookmarkStart w:id="89" w:name="_Toc31449"/>
      <w:bookmarkStart w:id="90" w:name="_Toc5304"/>
      <w:r>
        <w:rPr>
          <w:rFonts w:hint="eastAsia"/>
          <w:b w:val="0"/>
          <w:bCs/>
        </w:rPr>
        <w:t>2. 提高集聚区的配套服务能力</w:t>
      </w:r>
      <w:bookmarkEnd w:id="89"/>
      <w:bookmarkEnd w:id="90"/>
    </w:p>
    <w:p>
      <w:pPr>
        <w:ind w:firstLine="640"/>
        <w:rPr>
          <w:b w:val="0"/>
          <w:bCs/>
        </w:rPr>
      </w:pPr>
      <w:r>
        <w:rPr>
          <w:b w:val="0"/>
          <w:bCs/>
        </w:rPr>
        <w:t>加强</w:t>
      </w:r>
      <w:r>
        <w:rPr>
          <w:rFonts w:hint="eastAsia"/>
          <w:b w:val="0"/>
          <w:bCs/>
        </w:rPr>
        <w:t>产业集聚区</w:t>
      </w:r>
      <w:r>
        <w:rPr>
          <w:b w:val="0"/>
          <w:bCs/>
        </w:rPr>
        <w:t>公共基础设施建设，发挥基础设施的先导效应，提升项目承载能力。着力完善配套交通、供排水、供电、供气、治污、环境保护、通信等基础设施。不断提升和完善</w:t>
      </w:r>
      <w:r>
        <w:rPr>
          <w:rFonts w:hint="eastAsia"/>
          <w:b w:val="0"/>
          <w:bCs/>
        </w:rPr>
        <w:t>集聚区</w:t>
      </w:r>
      <w:r>
        <w:rPr>
          <w:b w:val="0"/>
          <w:bCs/>
        </w:rPr>
        <w:t>生活配套设施建设，做好绿化、亮化和美化工程。以企业为主体、以土地为核心、以政策为导向、以项目为抓手，对</w:t>
      </w:r>
      <w:r>
        <w:rPr>
          <w:rFonts w:hint="eastAsia"/>
          <w:b w:val="0"/>
          <w:bCs/>
        </w:rPr>
        <w:t>集聚区</w:t>
      </w:r>
      <w:r>
        <w:rPr>
          <w:b w:val="0"/>
          <w:bCs/>
        </w:rPr>
        <w:t>资源进行项目化运作、市场化经营，千方百计撬动社会资金、民间资金投向</w:t>
      </w:r>
      <w:r>
        <w:rPr>
          <w:rFonts w:hint="eastAsia"/>
          <w:b w:val="0"/>
          <w:bCs/>
        </w:rPr>
        <w:t>集聚区</w:t>
      </w:r>
      <w:r>
        <w:rPr>
          <w:b w:val="0"/>
          <w:bCs/>
        </w:rPr>
        <w:t>，激发发展动力，增强发展活力。建立完善公共服务平台，吸引社会资本投资公共服务平台，逐步形成社会化、市场化、专业化的公共服务体系。</w:t>
      </w:r>
      <w:r>
        <w:rPr>
          <w:rFonts w:hint="eastAsia"/>
          <w:b w:val="0"/>
          <w:bCs/>
        </w:rPr>
        <w:t>汇集加工、仓储、物流、信息等企业聚集发展，提高集聚区的综合配套服务能力。</w:t>
      </w:r>
    </w:p>
    <w:p>
      <w:pPr>
        <w:pStyle w:val="3"/>
        <w:ind w:firstLine="723"/>
        <w:rPr>
          <w:b w:val="0"/>
          <w:bCs/>
        </w:rPr>
      </w:pPr>
      <w:bookmarkStart w:id="91" w:name="_Toc24869"/>
      <w:r>
        <w:rPr>
          <w:rFonts w:hint="eastAsia"/>
          <w:b w:val="0"/>
          <w:bCs/>
        </w:rPr>
        <w:t>六、重点工程</w:t>
      </w:r>
      <w:bookmarkEnd w:id="91"/>
    </w:p>
    <w:p>
      <w:pPr>
        <w:pStyle w:val="4"/>
        <w:rPr>
          <w:b w:val="0"/>
          <w:bCs/>
        </w:rPr>
      </w:pPr>
      <w:bookmarkStart w:id="92" w:name="_Toc6571"/>
      <w:r>
        <w:rPr>
          <w:rFonts w:hint="eastAsia"/>
          <w:b w:val="0"/>
          <w:bCs/>
        </w:rPr>
        <w:t>（一）</w:t>
      </w:r>
      <w:r>
        <w:rPr>
          <w:b w:val="0"/>
          <w:bCs/>
        </w:rPr>
        <w:t>“三品”战略</w:t>
      </w:r>
      <w:r>
        <w:rPr>
          <w:rFonts w:hint="eastAsia"/>
          <w:b w:val="0"/>
          <w:bCs/>
        </w:rPr>
        <w:t>工程</w:t>
      </w:r>
      <w:bookmarkEnd w:id="92"/>
    </w:p>
    <w:p>
      <w:pPr>
        <w:ind w:firstLine="640"/>
        <w:rPr>
          <w:b w:val="0"/>
          <w:bCs/>
        </w:rPr>
      </w:pPr>
      <w:r>
        <w:rPr>
          <w:rFonts w:hint="eastAsia"/>
          <w:b w:val="0"/>
          <w:bCs/>
        </w:rPr>
        <w:t>支持企业深度挖掘用户需求，适应和引领消费升级新趋势，在产品开发、创意设计、产品包装、用户体验、市场营销等方面加强创新</w:t>
      </w:r>
      <w:r>
        <w:rPr>
          <w:b w:val="0"/>
          <w:bCs/>
        </w:rPr>
        <w:t>、引领创意</w:t>
      </w:r>
      <w:r>
        <w:rPr>
          <w:rFonts w:hint="eastAsia"/>
          <w:b w:val="0"/>
          <w:bCs/>
        </w:rPr>
        <w:t>，积极开展个性化定制、柔性化生产，丰富和细化产品种类，</w:t>
      </w:r>
      <w:r>
        <w:rPr>
          <w:b w:val="0"/>
          <w:bCs/>
        </w:rPr>
        <w:t>支持企业采用新工艺、新技术、先进设备</w:t>
      </w:r>
      <w:r>
        <w:rPr>
          <w:rFonts w:hint="eastAsia"/>
          <w:b w:val="0"/>
          <w:bCs/>
        </w:rPr>
        <w:t>，</w:t>
      </w:r>
      <w:r>
        <w:rPr>
          <w:b w:val="0"/>
          <w:bCs/>
        </w:rPr>
        <w:t>延长产业链，开发设计高附加值时尚产品</w:t>
      </w:r>
      <w:r>
        <w:rPr>
          <w:rFonts w:hint="eastAsia"/>
          <w:b w:val="0"/>
          <w:bCs/>
        </w:rPr>
        <w:t>。引导企业增强质量、品牌和营销意识，弘扬企业家精神和工匠精神，实施精细化质量管理。引导企业围绕研发创新、设计创意、生产制造、质量管理和营销服务全过程，构建品牌管理体系，明确品牌定位，采用合理定价、差异发展等策略，整合渠道资源，提高品牌产品性价比。</w:t>
      </w:r>
    </w:p>
    <w:tbl>
      <w:tblPr>
        <w:tblStyle w:val="22"/>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tcPr>
          <w:p>
            <w:pPr>
              <w:pStyle w:val="5"/>
              <w:ind w:firstLine="0" w:firstLineChars="0"/>
              <w:jc w:val="center"/>
              <w:outlineLvl w:val="2"/>
              <w:rPr>
                <w:b w:val="0"/>
                <w:bCs/>
              </w:rPr>
            </w:pPr>
            <w:bookmarkStart w:id="93" w:name="_Toc12329"/>
            <w:bookmarkStart w:id="94" w:name="_Toc19335"/>
            <w:r>
              <w:rPr>
                <w:rFonts w:hint="eastAsia"/>
                <w:b w:val="0"/>
                <w:bCs/>
              </w:rPr>
              <w:t>专栏1  “三品”战略重点工程</w:t>
            </w:r>
            <w:bookmarkEnd w:id="93"/>
            <w:bookmarkEnd w:id="9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tcPr>
          <w:p>
            <w:pPr>
              <w:spacing w:line="240" w:lineRule="auto"/>
              <w:ind w:firstLine="422"/>
              <w:rPr>
                <w:b w:val="0"/>
                <w:bCs/>
                <w:sz w:val="21"/>
                <w:szCs w:val="21"/>
              </w:rPr>
            </w:pPr>
            <w:r>
              <w:rPr>
                <w:rFonts w:hint="eastAsia"/>
                <w:b w:val="0"/>
                <w:bCs/>
                <w:sz w:val="21"/>
                <w:szCs w:val="21"/>
              </w:rPr>
              <w:t>“增品种”工程：重点开发绿色、健康的中高端产品，满足消费者多样化需求。特别是蔬菜加工产品方面，积极与高校、科研院所合作选育在省外及国外具有较大市场需求的高附加值蔬菜品种。积极与包装行业融合发展，提升我市食品包装的创新设计能力，引领消费需求和时尚潮流。实施“绿色食品制造业+文化”计划，大力发展创意产业和高附加值都市型产业，提高食品的文化内涵和附加值。</w:t>
            </w:r>
          </w:p>
          <w:p>
            <w:pPr>
              <w:spacing w:line="240" w:lineRule="auto"/>
              <w:ind w:firstLine="422"/>
              <w:rPr>
                <w:b w:val="0"/>
                <w:bCs/>
                <w:sz w:val="21"/>
                <w:szCs w:val="21"/>
              </w:rPr>
            </w:pPr>
            <w:r>
              <w:rPr>
                <w:rFonts w:hint="eastAsia"/>
                <w:b w:val="0"/>
                <w:bCs/>
                <w:sz w:val="21"/>
                <w:szCs w:val="21"/>
              </w:rPr>
              <w:t>“提品质”工程：全面推广六西格玛、卓越绩效、精益生产、质量诊断、质量持续改进等先进质量管理技术和方法，支持食品企业建立和实施ISO22000、HACCP、GMP等认证体系，建立与国际接轨的生产质量体系，切实提高企业质量管理能力和产品可靠性。加大力度推进绿色食品、有机食品和地理标志农产品认证、良好农业规范(GAP)认证，按照绿色食品、有机食品标准和国际通行的农业操作规范，打造一批“绿色食品牌”产业基地。推广质量在线监测、控制和产品全生命周期质量管理信息系统，实现产品研发设计、生产制造、售后服务的全流程质量管控。</w:t>
            </w:r>
          </w:p>
          <w:p>
            <w:pPr>
              <w:pStyle w:val="5"/>
              <w:spacing w:line="240" w:lineRule="auto"/>
              <w:ind w:firstLine="422"/>
              <w:outlineLvl w:val="2"/>
              <w:rPr>
                <w:b w:val="0"/>
                <w:bCs/>
                <w:sz w:val="21"/>
                <w:szCs w:val="21"/>
              </w:rPr>
            </w:pPr>
            <w:bookmarkStart w:id="95" w:name="_Toc31111"/>
            <w:bookmarkStart w:id="96" w:name="_Toc2716"/>
            <w:r>
              <w:rPr>
                <w:rFonts w:hint="eastAsia"/>
                <w:b w:val="0"/>
                <w:bCs/>
                <w:sz w:val="21"/>
                <w:szCs w:val="21"/>
              </w:rPr>
              <w:t>“创品牌”工程：做强绿色食品高端品牌，做强“云菜”“褚橙”等农产品，打造“云果”“云花”“云菌”玉系知名品牌。扶持一批长期专注于行业特定细分产品市场、单个产品拥有强大市场地位和较高市场占有率的行业隐形冠军企业。支持企业在智能制造、制造业服务化、管理创新、产能合作、质量提升等方面加大投入力度，培育一批增品种提品质创品牌示范企业。支持企业积极参与省“10大名品”和绿色食品“10强企业”“20佳创新企业”评选。开展市级绿色食品牌“名品”“重点企业”“创新企业”评选，培育一批全国具有一定知名度和影响力品牌。</w:t>
            </w:r>
            <w:bookmarkEnd w:id="95"/>
            <w:bookmarkEnd w:id="96"/>
          </w:p>
        </w:tc>
      </w:tr>
    </w:tbl>
    <w:p>
      <w:pPr>
        <w:pStyle w:val="4"/>
        <w:rPr>
          <w:b w:val="0"/>
          <w:bCs/>
        </w:rPr>
      </w:pPr>
      <w:bookmarkStart w:id="97" w:name="_Toc23186"/>
      <w:r>
        <w:rPr>
          <w:rFonts w:hint="eastAsia"/>
          <w:b w:val="0"/>
          <w:bCs/>
        </w:rPr>
        <w:t>（二）数字经济工程</w:t>
      </w:r>
      <w:bookmarkEnd w:id="97"/>
    </w:p>
    <w:p>
      <w:pPr>
        <w:pStyle w:val="10"/>
        <w:ind w:left="0" w:leftChars="0" w:firstLine="640"/>
        <w:rPr>
          <w:b w:val="0"/>
          <w:bCs/>
        </w:rPr>
      </w:pPr>
      <w:r>
        <w:rPr>
          <w:rFonts w:hint="eastAsia"/>
          <w:b w:val="0"/>
          <w:bCs/>
        </w:rPr>
        <w:t xml:space="preserve">积极推动绿色食品制造企业贯彻国家“两化”融合管理体系标准，整体提升“两化”融合水平。推广应用自动识别、人机智能交互等先进制造技术，逐步建立面向生产全流程、管理全方位、产品全周期的智能制造模式。加快智能制造软硬件产品应用，推进数字化车间、智能工厂的集成创新与应用示范。深入实施云南省“万企上云上平台”行动，支持有一定基础的工业企业开展上云工作，推动低成本、模块化工业互联网设备和系统在中小企业部署应用，促进企业利用平台云化资源。鼓励本地企业开展协同制造、个性化定制等新型制造模式发展，实现本地制造业向智能化和“制造+服务”转型升级。 </w:t>
      </w:r>
    </w:p>
    <w:tbl>
      <w:tblPr>
        <w:tblStyle w:val="22"/>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tcPr>
          <w:p>
            <w:pPr>
              <w:pStyle w:val="5"/>
              <w:ind w:firstLine="0" w:firstLineChars="0"/>
              <w:jc w:val="center"/>
              <w:outlineLvl w:val="2"/>
              <w:rPr>
                <w:b w:val="0"/>
                <w:bCs/>
              </w:rPr>
            </w:pPr>
            <w:bookmarkStart w:id="98" w:name="_Toc30849"/>
            <w:bookmarkStart w:id="99" w:name="_Toc24959"/>
            <w:r>
              <w:rPr>
                <w:rFonts w:hint="eastAsia"/>
                <w:b w:val="0"/>
                <w:bCs/>
              </w:rPr>
              <w:t>专栏2  数字经济重点工程</w:t>
            </w:r>
            <w:bookmarkEnd w:id="98"/>
            <w:bookmarkEnd w:id="9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tcPr>
          <w:p>
            <w:pPr>
              <w:pStyle w:val="10"/>
              <w:spacing w:after="0" w:line="240" w:lineRule="auto"/>
              <w:ind w:left="0" w:leftChars="0" w:firstLine="422"/>
              <w:rPr>
                <w:b w:val="0"/>
                <w:bCs/>
                <w:sz w:val="21"/>
                <w:szCs w:val="21"/>
              </w:rPr>
            </w:pPr>
            <w:r>
              <w:rPr>
                <w:rFonts w:hint="eastAsia"/>
                <w:b w:val="0"/>
                <w:bCs/>
                <w:sz w:val="21"/>
                <w:szCs w:val="21"/>
              </w:rPr>
              <w:t>企业智能化改造升级工程：鼓励绿色食品制造企业在生产环节开展生产装备数字化改造、生产线数字化升级，提升企业装备的信息化和智能化水平。采取联合采购、融资租赁等方式购买使用自动化、智能化装备，替代传统手工、半机械化装备。支持行业龙头企业采用一体化、数字化、智能化生产设备和生产线，提高生产效率和产品质量稳定性。开展智能制造试点示范，实施“生产换线”“设备换芯”“机器换人”，提升企业关键工序数控化率和工业智能设备联网率，在粮油制品、蔬菜加工、休闲食品等行业逐步进行自动化改造，依托云南达利食品有限公司、云南猫哆哩集团食品有限责任公司、云南宏斌绿色食品集团有限公司等企业，建立一批数字化车间、智能工厂，推进智能制造。</w:t>
            </w:r>
          </w:p>
          <w:p>
            <w:pPr>
              <w:spacing w:line="240" w:lineRule="auto"/>
              <w:ind w:firstLine="422"/>
              <w:rPr>
                <w:b w:val="0"/>
                <w:bCs/>
                <w:sz w:val="21"/>
                <w:szCs w:val="21"/>
              </w:rPr>
            </w:pPr>
            <w:r>
              <w:rPr>
                <w:rFonts w:hint="eastAsia"/>
                <w:b w:val="0"/>
                <w:bCs/>
                <w:sz w:val="21"/>
                <w:szCs w:val="21"/>
              </w:rPr>
              <w:t>企业数字化管理工程：深入开展“两化融合”贯彻标准企业培育，完善“两化融合”管理体系和指标评价体系，不断扩大贯标企业数量和规模。推动绿色食品制造企业信息化系统升级，普及应用在线协同办公系统、在线企业资源计划管理系统（ERP）、在线客户关系管理系统（CRM）等标准化、模块化的基础信息系统。推动玉溪滇雪粮油有限公司、云南达利食品有限公司等重点行业龙头型企业利用大数据、人工智能、5G进行业务流程再造和组织方式变革，构建开放式、扁平化、平台化的组织管理新模式。支持企业合理定制化部署企业资源计划管理系统、制造企业生产过程执行管理系统（MES）、产品生命周期管理（PLM）等系统，提高企业研发、生产、管理和服务的智能化水平。</w:t>
            </w:r>
          </w:p>
          <w:p>
            <w:pPr>
              <w:pStyle w:val="5"/>
              <w:spacing w:line="240" w:lineRule="auto"/>
              <w:ind w:firstLine="422"/>
              <w:outlineLvl w:val="2"/>
              <w:rPr>
                <w:b w:val="0"/>
                <w:bCs/>
                <w:sz w:val="21"/>
                <w:szCs w:val="21"/>
              </w:rPr>
            </w:pPr>
            <w:bookmarkStart w:id="100" w:name="_Toc19700"/>
            <w:bookmarkStart w:id="101" w:name="_Toc32726"/>
            <w:r>
              <w:rPr>
                <w:rFonts w:hint="eastAsia"/>
                <w:b w:val="0"/>
                <w:bCs/>
                <w:sz w:val="21"/>
                <w:szCs w:val="21"/>
              </w:rPr>
              <w:t>“互联网+”现代农业工程：</w:t>
            </w:r>
            <w:r>
              <w:rPr>
                <w:rFonts w:hint="eastAsia"/>
                <w:b w:val="0"/>
                <w:bCs/>
                <w:sz w:val="21"/>
                <w:szCs w:val="21"/>
              </w:rPr>
              <w:t>推广应用物联网、大数据、云计算、移动互联等现代信息技术，建设农业资源一张图，扶持创建一批重要农产品全产业链大数据示范应用基地，建立农产品溯源系统，构建全产业链数据资源采集、分析、监测、预警体系，提升农业生产经营和管理数字化、智能化水平。</w:t>
            </w:r>
            <w:bookmarkEnd w:id="100"/>
            <w:bookmarkEnd w:id="101"/>
          </w:p>
        </w:tc>
      </w:tr>
    </w:tbl>
    <w:p>
      <w:pPr>
        <w:pStyle w:val="4"/>
        <w:rPr>
          <w:b w:val="0"/>
          <w:bCs/>
        </w:rPr>
      </w:pPr>
      <w:bookmarkStart w:id="102" w:name="_Toc7123"/>
      <w:r>
        <w:rPr>
          <w:rFonts w:hint="eastAsia"/>
          <w:b w:val="0"/>
          <w:bCs/>
        </w:rPr>
        <w:t>（三）</w:t>
      </w:r>
      <w:r>
        <w:rPr>
          <w:b w:val="0"/>
          <w:bCs/>
        </w:rPr>
        <w:t>食品安全</w:t>
      </w:r>
      <w:r>
        <w:rPr>
          <w:rFonts w:hint="eastAsia"/>
          <w:b w:val="0"/>
          <w:bCs/>
        </w:rPr>
        <w:t>工程</w:t>
      </w:r>
      <w:bookmarkEnd w:id="102"/>
    </w:p>
    <w:p>
      <w:pPr>
        <w:pStyle w:val="10"/>
        <w:spacing w:after="0"/>
        <w:ind w:left="0" w:leftChars="0" w:firstLine="640"/>
        <w:rPr>
          <w:b w:val="0"/>
          <w:bCs/>
          <w:szCs w:val="22"/>
        </w:rPr>
      </w:pPr>
      <w:r>
        <w:rPr>
          <w:b w:val="0"/>
          <w:bCs/>
          <w:szCs w:val="22"/>
        </w:rPr>
        <w:t>建立产地环境质量、生产技术标准、最终产品标准、包装与标签标准、贮藏运输标准和其他相关标准构成的绿色食品标准链条，规范“从土地到餐桌”全过程质量控制标准，构建绿色食品生产质量安全保障体系和农产品安全可追溯体系。</w:t>
      </w:r>
      <w:r>
        <w:rPr>
          <w:rFonts w:hint="eastAsia"/>
          <w:b w:val="0"/>
          <w:bCs/>
        </w:rPr>
        <w:t>建立玉溪市食品安全公共追溯监控平台，实现与重点绿色食品制造、流通企业可追溯系统的互联，提高食品安全监管水平。引导企业开展绿色食品制造业诚信体系评价，认真开展绿色食品制造业企业诚信管理体系认证工作，增强诚信意识和社会责任感。</w:t>
      </w:r>
    </w:p>
    <w:tbl>
      <w:tblPr>
        <w:tblStyle w:val="22"/>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tcPr>
          <w:p>
            <w:pPr>
              <w:pStyle w:val="5"/>
              <w:ind w:firstLine="0" w:firstLineChars="0"/>
              <w:jc w:val="center"/>
              <w:outlineLvl w:val="2"/>
              <w:rPr>
                <w:b w:val="0"/>
                <w:bCs/>
                <w:szCs w:val="22"/>
              </w:rPr>
            </w:pPr>
            <w:bookmarkStart w:id="103" w:name="_Toc1456"/>
            <w:bookmarkStart w:id="104" w:name="_Toc20457"/>
            <w:r>
              <w:rPr>
                <w:rFonts w:hint="eastAsia"/>
                <w:b w:val="0"/>
                <w:bCs/>
                <w:szCs w:val="22"/>
              </w:rPr>
              <w:t>专栏3  食品安全重点工程</w:t>
            </w:r>
            <w:bookmarkEnd w:id="103"/>
            <w:bookmarkEnd w:id="10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tcPr>
          <w:p>
            <w:pPr>
              <w:pStyle w:val="5"/>
              <w:spacing w:line="240" w:lineRule="auto"/>
              <w:ind w:firstLine="422"/>
              <w:outlineLvl w:val="2"/>
              <w:rPr>
                <w:b w:val="0"/>
                <w:bCs/>
                <w:sz w:val="21"/>
                <w:szCs w:val="21"/>
              </w:rPr>
            </w:pPr>
            <w:bookmarkStart w:id="105" w:name="_Toc26139"/>
            <w:bookmarkStart w:id="106" w:name="_Toc11269"/>
            <w:r>
              <w:rPr>
                <w:rFonts w:hint="eastAsia"/>
                <w:b w:val="0"/>
                <w:bCs/>
                <w:sz w:val="21"/>
                <w:szCs w:val="21"/>
              </w:rPr>
              <w:t>原辅材料安全保障工程：</w:t>
            </w:r>
            <w:r>
              <w:rPr>
                <w:b w:val="0"/>
                <w:bCs/>
                <w:sz w:val="21"/>
                <w:szCs w:val="21"/>
              </w:rPr>
              <w:t>在食品生产源头，严把原辅材料质量，引导农产品种植企业或种植户采用先进种植技术，减少农药、化肥使用量。</w:t>
            </w:r>
            <w:r>
              <w:rPr>
                <w:rFonts w:hint="eastAsia"/>
                <w:b w:val="0"/>
                <w:bCs/>
                <w:sz w:val="21"/>
                <w:szCs w:val="21"/>
              </w:rPr>
              <w:t>绿色食品制造</w:t>
            </w:r>
            <w:r>
              <w:rPr>
                <w:b w:val="0"/>
                <w:bCs/>
                <w:sz w:val="21"/>
                <w:szCs w:val="21"/>
              </w:rPr>
              <w:t>过程中尽量使用绿色、有机、无公害原辅材料，不使用或规定标准内少使用食品添加剂，保障食品的绿色、安全。</w:t>
            </w:r>
            <w:bookmarkEnd w:id="105"/>
            <w:bookmarkEnd w:id="106"/>
          </w:p>
          <w:p>
            <w:pPr>
              <w:pStyle w:val="5"/>
              <w:spacing w:line="240" w:lineRule="auto"/>
              <w:ind w:firstLine="422"/>
              <w:outlineLvl w:val="2"/>
              <w:rPr>
                <w:b w:val="0"/>
                <w:bCs/>
                <w:sz w:val="21"/>
                <w:szCs w:val="21"/>
              </w:rPr>
            </w:pPr>
            <w:bookmarkStart w:id="107" w:name="_Toc18049"/>
            <w:bookmarkStart w:id="108" w:name="_Toc15618"/>
            <w:r>
              <w:rPr>
                <w:rFonts w:hint="eastAsia"/>
                <w:b w:val="0"/>
                <w:bCs/>
                <w:sz w:val="21"/>
                <w:szCs w:val="21"/>
              </w:rPr>
              <w:t>质量检测能力提升工程：整合现有的检测资源，实现检测信息共享，提高对食品质量安全风险的分析与预测能力。依托食品科研、教学单位组建检测机构，实现食品科技与检测技术的相互促进、共同提高；加大对食品检测机构的支持，引进先进仪器设备，提高检测手段与技术。</w:t>
            </w:r>
            <w:bookmarkEnd w:id="107"/>
            <w:bookmarkEnd w:id="108"/>
          </w:p>
          <w:p>
            <w:pPr>
              <w:pStyle w:val="5"/>
              <w:spacing w:line="240" w:lineRule="auto"/>
              <w:ind w:firstLine="422"/>
              <w:outlineLvl w:val="2"/>
              <w:rPr>
                <w:b w:val="0"/>
                <w:bCs/>
                <w:sz w:val="21"/>
                <w:szCs w:val="21"/>
              </w:rPr>
            </w:pPr>
            <w:bookmarkStart w:id="109" w:name="_Toc19788"/>
            <w:bookmarkStart w:id="110" w:name="_Toc28425"/>
            <w:r>
              <w:rPr>
                <w:rFonts w:hint="eastAsia"/>
                <w:b w:val="0"/>
                <w:bCs/>
                <w:sz w:val="21"/>
                <w:szCs w:val="21"/>
              </w:rPr>
              <w:t>诚信管理体系建设工程：全面贯彻落实新修订的《食品安全法实施条例（2019）》，完善食品安全预警应急机制及不良食品召回、下架、退市等制度规定，形成有效的食品安全综合管理机制，强化食品行业市场准入管理。建立黑名单管理制度，强化企业法人是食品安全第一责任人的意识，引导企业诚信守法，充分发挥信用的警示和惩戒作用，营造食品安全诚信环境氛围。</w:t>
            </w:r>
            <w:bookmarkEnd w:id="109"/>
            <w:bookmarkEnd w:id="110"/>
          </w:p>
        </w:tc>
      </w:tr>
    </w:tbl>
    <w:p>
      <w:pPr>
        <w:pStyle w:val="4"/>
        <w:rPr>
          <w:b w:val="0"/>
          <w:bCs/>
        </w:rPr>
      </w:pPr>
      <w:bookmarkStart w:id="111" w:name="_Toc31270"/>
      <w:r>
        <w:rPr>
          <w:rFonts w:hint="eastAsia"/>
          <w:b w:val="0"/>
          <w:bCs/>
        </w:rPr>
        <w:t>（四）</w:t>
      </w:r>
      <w:r>
        <w:rPr>
          <w:b w:val="0"/>
          <w:bCs/>
        </w:rPr>
        <w:t>市场拓展</w:t>
      </w:r>
      <w:r>
        <w:rPr>
          <w:rFonts w:hint="eastAsia"/>
          <w:b w:val="0"/>
          <w:bCs/>
        </w:rPr>
        <w:t>工程</w:t>
      </w:r>
      <w:bookmarkEnd w:id="111"/>
    </w:p>
    <w:p>
      <w:pPr>
        <w:ind w:firstLine="640"/>
        <w:rPr>
          <w:b w:val="0"/>
          <w:bCs/>
          <w:szCs w:val="22"/>
        </w:rPr>
      </w:pPr>
      <w:r>
        <w:rPr>
          <w:rFonts w:hint="eastAsia"/>
          <w:b w:val="0"/>
          <w:bCs/>
          <w:szCs w:val="22"/>
        </w:rPr>
        <w:t>主动融入全省“云品出滇”部署，加快我市食品走出去步伐。国内深耕北京、上海、广东、深圳等高端市场以及港澳台市场，以一线城市为重点开通农产品和特色食品直通车，拓展中东部市场，开拓西北市场。国外要巩固和深度挖掘东盟、欧盟等传统市场</w:t>
      </w:r>
      <w:r>
        <w:rPr>
          <w:rFonts w:hint="eastAsia"/>
          <w:b w:val="0"/>
          <w:bCs/>
          <w:color w:val="auto"/>
          <w:szCs w:val="22"/>
        </w:rPr>
        <w:t>，开拓中东市场，拓展欧洲、北美、澳洲等市场。支持食品企业建立特色食品线上、线下专卖店，在省内外设立分支机构、商务平台、专卖店，与大中型商超开展直采供应。</w:t>
      </w:r>
      <w:r>
        <w:rPr>
          <w:rFonts w:hint="eastAsia"/>
          <w:b w:val="0"/>
          <w:bCs/>
          <w:strike w:val="0"/>
          <w:dstrike w:val="0"/>
          <w:color w:val="auto"/>
          <w:szCs w:val="22"/>
          <w:lang w:eastAsia="zh-CN"/>
        </w:rPr>
        <w:t>鼓励企业与电商销售商合作，</w:t>
      </w:r>
      <w:r>
        <w:rPr>
          <w:rFonts w:hint="eastAsia"/>
          <w:b w:val="0"/>
          <w:bCs/>
          <w:color w:val="auto"/>
          <w:szCs w:val="22"/>
        </w:rPr>
        <w:t>推动食品企业参与全省“云品”连锁专卖店、“云品荟”电商平</w:t>
      </w:r>
      <w:r>
        <w:rPr>
          <w:rFonts w:hint="eastAsia"/>
          <w:b w:val="0"/>
          <w:bCs/>
          <w:szCs w:val="22"/>
        </w:rPr>
        <w:t>台和“一部手机游云南”平台建设。</w:t>
      </w:r>
    </w:p>
    <w:tbl>
      <w:tblPr>
        <w:tblStyle w:val="22"/>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tcPr>
          <w:p>
            <w:pPr>
              <w:pStyle w:val="5"/>
              <w:ind w:firstLine="0" w:firstLineChars="0"/>
              <w:jc w:val="center"/>
              <w:outlineLvl w:val="2"/>
              <w:rPr>
                <w:b w:val="0"/>
                <w:bCs/>
              </w:rPr>
            </w:pPr>
            <w:bookmarkStart w:id="112" w:name="_Toc17498"/>
            <w:bookmarkStart w:id="113" w:name="_Toc15517"/>
            <w:r>
              <w:rPr>
                <w:rFonts w:hint="eastAsia"/>
                <w:b w:val="0"/>
                <w:bCs/>
              </w:rPr>
              <w:t>专栏4  市场拓展重点工程</w:t>
            </w:r>
            <w:bookmarkEnd w:id="112"/>
            <w:bookmarkEnd w:id="11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tcPr>
          <w:p>
            <w:pPr>
              <w:pStyle w:val="5"/>
              <w:spacing w:line="240" w:lineRule="auto"/>
              <w:ind w:firstLine="422"/>
              <w:outlineLvl w:val="2"/>
              <w:rPr>
                <w:b w:val="0"/>
                <w:bCs/>
                <w:sz w:val="21"/>
                <w:szCs w:val="21"/>
              </w:rPr>
            </w:pPr>
            <w:bookmarkStart w:id="114" w:name="_Toc30250"/>
            <w:bookmarkStart w:id="115" w:name="_Toc16760"/>
            <w:r>
              <w:rPr>
                <w:rFonts w:hint="eastAsia"/>
                <w:b w:val="0"/>
                <w:bCs/>
                <w:sz w:val="21"/>
                <w:szCs w:val="21"/>
              </w:rPr>
              <w:t>国内市场扩大工程：</w:t>
            </w:r>
            <w:r>
              <w:rPr>
                <w:rFonts w:hint="eastAsia"/>
                <w:b w:val="0"/>
                <w:bCs/>
                <w:sz w:val="21"/>
                <w:szCs w:val="21"/>
              </w:rPr>
              <w:t>组织我市食品企业举办大型行业发展论坛及食品文化交流活动，支持企业参加国内、省内大型商贸博览会、展</w:t>
            </w:r>
            <w:r>
              <w:rPr>
                <w:rFonts w:hint="eastAsia"/>
                <w:b w:val="0"/>
                <w:bCs/>
                <w:sz w:val="21"/>
                <w:szCs w:val="21"/>
              </w:rPr>
              <w:t>销会，充分利用媒体广告、门户网站、节目冠名、网络直播、微信等多种宣传形式，提高品牌知名度。引导食品企业积极融入数字经济发展，推进电子商务平台项目建设，支持第三方平台运营企业与食品企业开展品牌营销外包合作，形成线上线下销售联动，拓宽产品营销渠道。依托西南地区市场，再向全国其他地区发展，逐步提高国内市场份额。</w:t>
            </w:r>
            <w:bookmarkEnd w:id="114"/>
            <w:bookmarkEnd w:id="115"/>
          </w:p>
          <w:p>
            <w:pPr>
              <w:spacing w:line="240" w:lineRule="auto"/>
              <w:ind w:firstLine="422"/>
              <w:rPr>
                <w:b w:val="0"/>
                <w:bCs/>
              </w:rPr>
            </w:pPr>
            <w:r>
              <w:rPr>
                <w:rFonts w:hint="eastAsia"/>
                <w:b w:val="0"/>
                <w:bCs/>
                <w:sz w:val="21"/>
                <w:szCs w:val="21"/>
              </w:rPr>
              <w:t>国外市场拓展工程：结合“一带一路”建设和推进国际产能合作，积极开拓南亚东南亚国家市场，拓宽欧美、日本、新加坡等高端消费市场，逐步提高国外市场占有率。建成一批紧密连接国际市场的规模化、标准化、产业化的食品出口集聚区和出口基地，创建绿色食品出口品牌，改进出口农产品检验检疫方式，推进海关检测报告和认证证书国际互认。推动企业建立与国际接轨的质量、安全控制体系，支持有实力的企业通过国际认证，采取品牌合作、代理出口等形式，探索同国际互联网企业、跨境电子商务平台的合作模式，扩大产品出口规模。</w:t>
            </w:r>
          </w:p>
        </w:tc>
      </w:tr>
    </w:tbl>
    <w:p>
      <w:pPr>
        <w:pStyle w:val="3"/>
        <w:ind w:firstLine="723"/>
        <w:rPr>
          <w:b w:val="0"/>
          <w:bCs/>
        </w:rPr>
      </w:pPr>
      <w:bookmarkStart w:id="116" w:name="_Toc26466"/>
      <w:r>
        <w:rPr>
          <w:rFonts w:hint="eastAsia"/>
          <w:b w:val="0"/>
          <w:bCs/>
        </w:rPr>
        <w:t>七、</w:t>
      </w:r>
      <w:r>
        <w:rPr>
          <w:b w:val="0"/>
          <w:bCs/>
        </w:rPr>
        <w:t>保障措施</w:t>
      </w:r>
      <w:bookmarkEnd w:id="116"/>
    </w:p>
    <w:p>
      <w:pPr>
        <w:pStyle w:val="4"/>
        <w:rPr>
          <w:b w:val="0"/>
          <w:bCs/>
        </w:rPr>
      </w:pPr>
      <w:bookmarkStart w:id="117" w:name="_Toc6129"/>
      <w:r>
        <w:rPr>
          <w:rFonts w:hint="eastAsia"/>
          <w:b w:val="0"/>
          <w:bCs/>
        </w:rPr>
        <w:t>（一）</w:t>
      </w:r>
      <w:r>
        <w:rPr>
          <w:b w:val="0"/>
          <w:bCs/>
        </w:rPr>
        <w:t>强化组织领导</w:t>
      </w:r>
      <w:bookmarkEnd w:id="117"/>
    </w:p>
    <w:p>
      <w:pPr>
        <w:ind w:firstLine="640"/>
        <w:rPr>
          <w:b w:val="0"/>
          <w:bCs/>
        </w:rPr>
      </w:pPr>
      <w:r>
        <w:rPr>
          <w:b w:val="0"/>
          <w:bCs/>
        </w:rPr>
        <w:t>充分发挥高原特色农业、绿色食品牌领导小</w:t>
      </w:r>
      <w:r>
        <w:rPr>
          <w:rFonts w:hint="eastAsia"/>
          <w:b w:val="0"/>
          <w:bCs/>
        </w:rPr>
        <w:t>组</w:t>
      </w:r>
      <w:r>
        <w:rPr>
          <w:b w:val="0"/>
          <w:bCs/>
        </w:rPr>
        <w:t>的职能作用，</w:t>
      </w:r>
      <w:r>
        <w:rPr>
          <w:rFonts w:hint="eastAsia"/>
          <w:b w:val="0"/>
          <w:bCs/>
        </w:rPr>
        <w:t>根据“突出重点、职能定责、形成合力”的原则，研究统筹产业布局、集群集聚、链条完善等重大事项，协调解决产业转型升级、龙头企业培育、重大项目建设、企业生产经营中出现的问题。市委、市政府各职能部门，要主动作为，加强合作，形成产业发展的强大合力。建立市、区两级联动工作机制，市政府有关部门重点抓龙头企业、重点项目，县（市、区）政府重点抓基地、抓特色，协调联动，强力推进。</w:t>
      </w:r>
    </w:p>
    <w:p>
      <w:pPr>
        <w:pStyle w:val="4"/>
        <w:rPr>
          <w:b w:val="0"/>
          <w:bCs/>
        </w:rPr>
      </w:pPr>
      <w:bookmarkStart w:id="118" w:name="_Toc28943"/>
      <w:r>
        <w:rPr>
          <w:rFonts w:hint="eastAsia"/>
          <w:b w:val="0"/>
          <w:bCs/>
        </w:rPr>
        <w:t>（二）营造良好</w:t>
      </w:r>
      <w:r>
        <w:rPr>
          <w:b w:val="0"/>
          <w:bCs/>
        </w:rPr>
        <w:t>环境</w:t>
      </w:r>
      <w:bookmarkEnd w:id="118"/>
    </w:p>
    <w:p>
      <w:pPr>
        <w:ind w:firstLine="640"/>
        <w:rPr>
          <w:b w:val="0"/>
          <w:bCs/>
        </w:rPr>
      </w:pPr>
      <w:r>
        <w:rPr>
          <w:b w:val="0"/>
          <w:bCs/>
        </w:rPr>
        <w:t>大力营造</w:t>
      </w:r>
      <w:r>
        <w:rPr>
          <w:rFonts w:hint="eastAsia"/>
          <w:b w:val="0"/>
          <w:bCs/>
        </w:rPr>
        <w:t>绿色食品制造</w:t>
      </w:r>
      <w:r>
        <w:rPr>
          <w:b w:val="0"/>
          <w:bCs/>
        </w:rPr>
        <w:t>发展环境，实行“政府统筹规划、财政支持引导、优势项目支撑、园区聚集发展”策略，</w:t>
      </w:r>
      <w:r>
        <w:rPr>
          <w:rFonts w:hint="eastAsia"/>
          <w:b w:val="0"/>
          <w:bCs/>
        </w:rPr>
        <w:t>切实落实国家、云南省各项减负政策，减轻企业负担。</w:t>
      </w:r>
      <w:r>
        <w:rPr>
          <w:b w:val="0"/>
          <w:bCs/>
        </w:rPr>
        <w:t>县</w:t>
      </w:r>
      <w:r>
        <w:rPr>
          <w:rFonts w:hint="eastAsia"/>
          <w:b w:val="0"/>
          <w:bCs/>
        </w:rPr>
        <w:t>（</w:t>
      </w:r>
      <w:r>
        <w:rPr>
          <w:b w:val="0"/>
          <w:bCs/>
        </w:rPr>
        <w:t>市</w:t>
      </w:r>
      <w:r>
        <w:rPr>
          <w:rFonts w:hint="eastAsia"/>
          <w:b w:val="0"/>
          <w:bCs/>
        </w:rPr>
        <w:t>、</w:t>
      </w:r>
      <w:r>
        <w:rPr>
          <w:b w:val="0"/>
          <w:bCs/>
        </w:rPr>
        <w:t>区</w:t>
      </w:r>
      <w:r>
        <w:rPr>
          <w:rFonts w:hint="eastAsia"/>
          <w:b w:val="0"/>
          <w:bCs/>
        </w:rPr>
        <w:t>）</w:t>
      </w:r>
      <w:r>
        <w:rPr>
          <w:b w:val="0"/>
          <w:bCs/>
        </w:rPr>
        <w:t>政府除积极争取国家、省的政策、项目和资金支持外，对市内重点食品企业比照省级农业产业化龙头企业，给予享受相关优惠政策，并协调土地、环保、银行、</w:t>
      </w:r>
      <w:r>
        <w:rPr>
          <w:rFonts w:hint="eastAsia"/>
          <w:b w:val="0"/>
          <w:bCs/>
        </w:rPr>
        <w:t>市场监管、</w:t>
      </w:r>
      <w:r>
        <w:rPr>
          <w:b w:val="0"/>
          <w:bCs/>
        </w:rPr>
        <w:t>农业等有关部门，提高食品项目审批效率，加强融资筹资、原料供给、生产技术、质量保障、产品认证、企业管理、市场开拓等方面的指导、支持和帮助，为食品企业开通绿色服务通道，形成全市推动</w:t>
      </w:r>
      <w:r>
        <w:rPr>
          <w:rFonts w:hint="eastAsia"/>
          <w:b w:val="0"/>
          <w:bCs/>
        </w:rPr>
        <w:t>绿色食品制造业</w:t>
      </w:r>
      <w:r>
        <w:rPr>
          <w:b w:val="0"/>
          <w:bCs/>
        </w:rPr>
        <w:t>加速发展的强大合力，进一步营造</w:t>
      </w:r>
      <w:r>
        <w:rPr>
          <w:rFonts w:hint="eastAsia"/>
          <w:b w:val="0"/>
          <w:bCs/>
        </w:rPr>
        <w:t>绿色食品制造业</w:t>
      </w:r>
      <w:r>
        <w:rPr>
          <w:b w:val="0"/>
          <w:bCs/>
        </w:rPr>
        <w:t>发展的良好政策环境和经营环境。</w:t>
      </w:r>
    </w:p>
    <w:p>
      <w:pPr>
        <w:pStyle w:val="4"/>
        <w:rPr>
          <w:b w:val="0"/>
          <w:bCs/>
        </w:rPr>
      </w:pPr>
      <w:bookmarkStart w:id="119" w:name="_Toc32518"/>
      <w:r>
        <w:rPr>
          <w:rFonts w:hint="eastAsia"/>
          <w:b w:val="0"/>
          <w:bCs/>
        </w:rPr>
        <w:t>（三）拓宽融资渠道</w:t>
      </w:r>
      <w:bookmarkEnd w:id="119"/>
    </w:p>
    <w:p>
      <w:pPr>
        <w:pStyle w:val="10"/>
        <w:ind w:left="0" w:leftChars="0" w:firstLine="640"/>
        <w:rPr>
          <w:b w:val="0"/>
          <w:bCs/>
          <w:szCs w:val="22"/>
        </w:rPr>
      </w:pPr>
      <w:r>
        <w:rPr>
          <w:rFonts w:hint="eastAsia"/>
          <w:b w:val="0"/>
          <w:bCs/>
          <w:szCs w:val="22"/>
        </w:rPr>
        <w:t>协调金融机构进一步开发适合食品企业的多元化金融产品和金融服务，充分发挥</w:t>
      </w:r>
      <w:r>
        <w:rPr>
          <w:rFonts w:hint="eastAsia"/>
          <w:b w:val="0"/>
          <w:bCs/>
          <w:color w:val="auto"/>
          <w:szCs w:val="22"/>
        </w:rPr>
        <w:t>“民营企业专项贷款风险代偿资金池”的</w:t>
      </w:r>
      <w:r>
        <w:rPr>
          <w:rFonts w:hint="eastAsia"/>
          <w:b w:val="0"/>
          <w:bCs/>
          <w:szCs w:val="22"/>
        </w:rPr>
        <w:t>引导带动作用，帮助有市场的中小食品企业降低融资成本，增强融资能力。依托县（市、区）融资担保机构，积极为中小型食品企业提供贷款担保。鼓励和引导食品企业建立互助资金和联保制度，依法开展多种形式的互助性融资担保。引进风险投资资金，引导社会资本对食品企业进行投资。积极开展中小企业上市宣传培训工作，鼓励企业采取股权融资、项目融资等形式实现直接融资。</w:t>
      </w:r>
    </w:p>
    <w:p>
      <w:pPr>
        <w:pStyle w:val="4"/>
        <w:rPr>
          <w:b w:val="0"/>
          <w:bCs/>
        </w:rPr>
      </w:pPr>
      <w:bookmarkStart w:id="120" w:name="_Toc15393"/>
      <w:r>
        <w:rPr>
          <w:rFonts w:hint="eastAsia"/>
          <w:b w:val="0"/>
          <w:bCs/>
        </w:rPr>
        <w:t>（四）</w:t>
      </w:r>
      <w:r>
        <w:rPr>
          <w:b w:val="0"/>
          <w:bCs/>
        </w:rPr>
        <w:t>加强人才引培</w:t>
      </w:r>
      <w:bookmarkEnd w:id="120"/>
    </w:p>
    <w:p>
      <w:pPr>
        <w:ind w:firstLine="640"/>
        <w:rPr>
          <w:b w:val="0"/>
          <w:bCs/>
        </w:rPr>
      </w:pPr>
      <w:r>
        <w:rPr>
          <w:b w:val="0"/>
          <w:bCs/>
        </w:rPr>
        <w:t>加大对能够推动</w:t>
      </w:r>
      <w:r>
        <w:rPr>
          <w:rFonts w:hint="eastAsia"/>
          <w:b w:val="0"/>
          <w:bCs/>
        </w:rPr>
        <w:t>绿色食品制造业</w:t>
      </w:r>
      <w:r>
        <w:rPr>
          <w:b w:val="0"/>
          <w:bCs/>
        </w:rPr>
        <w:t>重大技术突破、带动新兴产业发展的特殊人才和创新团队的引进力度，鼓励企业引进急需紧缺人才、创新团队和职业经理人。</w:t>
      </w:r>
      <w:r>
        <w:rPr>
          <w:rFonts w:hint="eastAsia"/>
          <w:b w:val="0"/>
          <w:bCs/>
        </w:rPr>
        <w:t>协助企业引进</w:t>
      </w:r>
      <w:r>
        <w:rPr>
          <w:b w:val="0"/>
          <w:bCs/>
        </w:rPr>
        <w:t>高级管理人员，</w:t>
      </w:r>
      <w:r>
        <w:rPr>
          <w:rFonts w:hint="eastAsia"/>
          <w:b w:val="0"/>
          <w:bCs/>
        </w:rPr>
        <w:t>对贡献较大的高级管理人员给予个人所得税部分返还优惠，</w:t>
      </w:r>
      <w:r>
        <w:rPr>
          <w:b w:val="0"/>
          <w:bCs/>
        </w:rPr>
        <w:t>建立企业家队伍培养和保护机制，培养造就一批具有全球战略眼光、管理创新能力和社会责任感的优秀企业家。</w:t>
      </w:r>
      <w:r>
        <w:rPr>
          <w:rFonts w:hint="eastAsia"/>
          <w:b w:val="0"/>
          <w:bCs/>
        </w:rPr>
        <w:t>支持企业与高等院校合作，加强食品学科建设，培养一批科研骨干和创新人才团队。加强产业技术工人培养和职工培训，采用校企联合、订单培训、定向招生等形式提高职工技能水平，扩大高级技工比重。</w:t>
      </w:r>
      <w:r>
        <w:rPr>
          <w:b w:val="0"/>
          <w:bCs/>
        </w:rPr>
        <w:t>对</w:t>
      </w:r>
      <w:r>
        <w:rPr>
          <w:b w:val="0"/>
          <w:bCs/>
        </w:rPr>
        <w:t>校</w:t>
      </w:r>
      <w:r>
        <w:rPr>
          <w:b w:val="0"/>
          <w:bCs/>
        </w:rPr>
        <w:t>企合作开展的“订单式”工业人才培养，给予企业一定培训经费补助。</w:t>
      </w:r>
      <w:r>
        <w:rPr>
          <w:rFonts w:hint="eastAsia"/>
          <w:b w:val="0"/>
          <w:bCs/>
        </w:rPr>
        <w:t>鼓励社会力量参与绿色食品制造业职业教育培训，加强企业实训基地建设，为玉溪市绿色食品制造业发展提供强大的人才支撑。</w:t>
      </w:r>
    </w:p>
    <w:p>
      <w:pPr>
        <w:pStyle w:val="4"/>
        <w:rPr>
          <w:b w:val="0"/>
          <w:bCs/>
        </w:rPr>
      </w:pPr>
      <w:bookmarkStart w:id="121" w:name="_Toc30462"/>
      <w:r>
        <w:rPr>
          <w:rFonts w:hint="eastAsia"/>
          <w:b w:val="0"/>
          <w:bCs/>
        </w:rPr>
        <w:t>（五）加强食品安全监管</w:t>
      </w:r>
      <w:bookmarkEnd w:id="121"/>
    </w:p>
    <w:p>
      <w:pPr>
        <w:pStyle w:val="10"/>
        <w:ind w:left="0" w:leftChars="0" w:firstLine="640"/>
        <w:rPr>
          <w:b w:val="0"/>
          <w:bCs/>
          <w:color w:val="FF0000"/>
        </w:rPr>
      </w:pPr>
      <w:r>
        <w:rPr>
          <w:rFonts w:hint="eastAsia"/>
          <w:b w:val="0"/>
          <w:bCs/>
        </w:rPr>
        <w:t>加强食品原料和辅料的采购、贮存和投料管理，对生产加工、产品包装、贮存销售等关键环节进行风险控制。执行从业人员健康管理制度和小作坊食品生产卫生规范，保证生产环境卫生、生产设备清洁、生产管理合规。严格要求食品生产企业不使用非食品原料，不使用回收食品作为原料，不滥用食品添加剂，保证所生产的食品卫生、无毒无害，自觉接受社会监督，并在生产经营场所明示食品安全承诺。</w:t>
      </w:r>
    </w:p>
    <w:p>
      <w:pPr>
        <w:pStyle w:val="10"/>
        <w:ind w:left="0" w:leftChars="0" w:firstLine="0" w:firstLineChars="0"/>
        <w:rPr>
          <w:b w:val="0"/>
          <w:bCs/>
        </w:rPr>
      </w:pPr>
    </w:p>
    <w:p>
      <w:pPr>
        <w:pStyle w:val="3"/>
        <w:ind w:firstLine="723"/>
        <w:rPr>
          <w:rFonts w:hint="eastAsia" w:ascii="方正黑体_GBK" w:hAnsi="方正黑体_GBK" w:eastAsia="方正黑体_GBK" w:cs="方正黑体_GBK"/>
          <w:b w:val="0"/>
          <w:bCs/>
          <w:sz w:val="32"/>
          <w:szCs w:val="32"/>
        </w:rPr>
      </w:pPr>
      <w:bookmarkStart w:id="122" w:name="_Toc14920"/>
      <w:r>
        <w:rPr>
          <w:rFonts w:hint="eastAsia" w:ascii="方正黑体_GBK" w:hAnsi="方正黑体_GBK" w:eastAsia="方正黑体_GBK" w:cs="方正黑体_GBK"/>
          <w:b w:val="0"/>
          <w:bCs/>
          <w:sz w:val="32"/>
          <w:szCs w:val="32"/>
        </w:rPr>
        <w:t>附表：</w:t>
      </w:r>
      <w:bookmarkEnd w:id="122"/>
    </w:p>
    <w:p>
      <w:pPr>
        <w:pStyle w:val="10"/>
        <w:spacing w:after="0"/>
        <w:ind w:left="0" w:leftChars="0" w:firstLine="640"/>
        <w:rPr>
          <w:szCs w:val="22"/>
        </w:rPr>
      </w:pPr>
      <w:r>
        <w:rPr>
          <w:rFonts w:hint="eastAsia"/>
          <w:szCs w:val="22"/>
        </w:rPr>
        <w:t>附表1  “十三五”期间主要经济指标执行情况表</w:t>
      </w:r>
    </w:p>
    <w:p>
      <w:pPr>
        <w:pStyle w:val="10"/>
        <w:spacing w:after="0"/>
        <w:ind w:left="0" w:leftChars="0" w:firstLine="640"/>
        <w:rPr>
          <w:szCs w:val="22"/>
        </w:rPr>
      </w:pPr>
      <w:r>
        <w:rPr>
          <w:rFonts w:hint="eastAsia"/>
          <w:szCs w:val="22"/>
        </w:rPr>
        <w:t>附表2  玉溪市“十四五”绿色食品制造业预期主要经济指标表</w:t>
      </w:r>
      <w:bookmarkStart w:id="131" w:name="_GoBack"/>
      <w:bookmarkEnd w:id="131"/>
    </w:p>
    <w:p>
      <w:pPr>
        <w:pStyle w:val="10"/>
        <w:spacing w:after="0"/>
        <w:ind w:left="0" w:leftChars="0" w:firstLine="640"/>
        <w:rPr>
          <w:szCs w:val="22"/>
        </w:rPr>
      </w:pPr>
      <w:r>
        <w:rPr>
          <w:rFonts w:hint="eastAsia"/>
          <w:szCs w:val="22"/>
        </w:rPr>
        <w:t>附表3  玉溪市“十四五”绿色食品制造业重点项目库</w:t>
      </w:r>
    </w:p>
    <w:p>
      <w:pPr>
        <w:pStyle w:val="10"/>
        <w:spacing w:after="0"/>
        <w:ind w:left="0" w:leftChars="0" w:firstLine="640"/>
        <w:rPr>
          <w:szCs w:val="22"/>
        </w:rPr>
      </w:pPr>
      <w:r>
        <w:rPr>
          <w:rFonts w:hint="eastAsia"/>
          <w:szCs w:val="22"/>
        </w:rPr>
        <w:t>附表</w:t>
      </w:r>
      <w:r>
        <w:rPr>
          <w:szCs w:val="22"/>
        </w:rPr>
        <w:t>4</w:t>
      </w:r>
      <w:r>
        <w:rPr>
          <w:rFonts w:hint="eastAsia"/>
          <w:szCs w:val="22"/>
        </w:rPr>
        <w:t xml:space="preserve">  玉溪市“十四五”绿色食品制造业需要国家、省支持的项目清单</w:t>
      </w:r>
    </w:p>
    <w:p>
      <w:pPr>
        <w:pStyle w:val="10"/>
        <w:spacing w:after="0"/>
        <w:ind w:left="0" w:leftChars="0" w:firstLine="640"/>
        <w:rPr>
          <w:szCs w:val="22"/>
        </w:rPr>
      </w:pPr>
      <w:r>
        <w:rPr>
          <w:rFonts w:hint="eastAsia"/>
          <w:szCs w:val="22"/>
        </w:rPr>
        <w:t>附表5  配套政策目录</w:t>
      </w:r>
    </w:p>
    <w:p>
      <w:pPr>
        <w:pStyle w:val="10"/>
        <w:spacing w:after="0"/>
        <w:ind w:left="0" w:leftChars="0" w:firstLine="0" w:firstLineChars="0"/>
        <w:rPr>
          <w:szCs w:val="22"/>
        </w:rPr>
      </w:pPr>
    </w:p>
    <w:p>
      <w:pPr>
        <w:pStyle w:val="10"/>
        <w:spacing w:after="0"/>
        <w:ind w:left="0" w:leftChars="0" w:firstLine="0" w:firstLineChars="0"/>
        <w:rPr>
          <w:szCs w:val="22"/>
        </w:rPr>
      </w:pPr>
    </w:p>
    <w:p>
      <w:pPr>
        <w:pStyle w:val="10"/>
        <w:spacing w:after="0"/>
        <w:ind w:left="0" w:leftChars="0" w:firstLine="0" w:firstLineChars="0"/>
        <w:rPr>
          <w:szCs w:val="22"/>
        </w:rPr>
      </w:pPr>
    </w:p>
    <w:p>
      <w:pPr>
        <w:pStyle w:val="10"/>
        <w:spacing w:after="0"/>
        <w:ind w:left="0" w:leftChars="0" w:firstLine="0" w:firstLineChars="0"/>
        <w:rPr>
          <w:szCs w:val="22"/>
        </w:rPr>
      </w:pPr>
    </w:p>
    <w:p>
      <w:pPr>
        <w:pStyle w:val="10"/>
        <w:spacing w:after="0"/>
        <w:ind w:left="0" w:leftChars="0" w:firstLine="0" w:firstLineChars="0"/>
        <w:rPr>
          <w:szCs w:val="22"/>
        </w:rPr>
      </w:pPr>
    </w:p>
    <w:p>
      <w:pPr>
        <w:pStyle w:val="10"/>
        <w:spacing w:after="0"/>
        <w:ind w:left="0" w:leftChars="0" w:firstLine="0" w:firstLineChars="0"/>
        <w:rPr>
          <w:szCs w:val="22"/>
        </w:rPr>
      </w:pPr>
    </w:p>
    <w:p>
      <w:pPr>
        <w:pStyle w:val="10"/>
        <w:spacing w:after="0"/>
        <w:ind w:left="0" w:leftChars="0" w:firstLine="0" w:firstLineChars="0"/>
        <w:rPr>
          <w:szCs w:val="22"/>
        </w:rPr>
      </w:pPr>
    </w:p>
    <w:p>
      <w:pPr>
        <w:pStyle w:val="4"/>
        <w:jc w:val="center"/>
        <w:rPr>
          <w:rFonts w:hint="eastAsia"/>
          <w:szCs w:val="22"/>
        </w:rPr>
        <w:sectPr>
          <w:footerReference r:id="rId7" w:type="default"/>
          <w:pgSz w:w="11906" w:h="16838"/>
          <w:pgMar w:top="2041" w:right="1474" w:bottom="1304" w:left="1587" w:header="851" w:footer="992" w:gutter="0"/>
          <w:pgNumType w:fmt="decimal" w:start="1"/>
          <w:cols w:space="425" w:num="1"/>
          <w:docGrid w:type="lines" w:linePitch="312" w:charSpace="0"/>
        </w:sectPr>
      </w:pPr>
    </w:p>
    <w:p>
      <w:pPr>
        <w:pStyle w:val="4"/>
        <w:jc w:val="center"/>
        <w:rPr>
          <w:szCs w:val="22"/>
        </w:rPr>
      </w:pPr>
      <w:bookmarkStart w:id="123" w:name="_Toc30073"/>
      <w:r>
        <w:rPr>
          <w:rFonts w:hint="eastAsia"/>
          <w:szCs w:val="22"/>
        </w:rPr>
        <w:t xml:space="preserve">附表1  </w:t>
      </w:r>
      <w:bookmarkStart w:id="124" w:name="_Hlk58060090"/>
      <w:r>
        <w:rPr>
          <w:rFonts w:hint="eastAsia"/>
          <w:szCs w:val="22"/>
        </w:rPr>
        <w:t>“十三五”期间主要经济指标执行情况表</w:t>
      </w:r>
      <w:bookmarkEnd w:id="123"/>
      <w:bookmarkEnd w:id="124"/>
    </w:p>
    <w:tbl>
      <w:tblPr>
        <w:tblStyle w:val="2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4"/>
        <w:gridCol w:w="913"/>
        <w:gridCol w:w="1091"/>
        <w:gridCol w:w="1084"/>
        <w:gridCol w:w="1164"/>
        <w:gridCol w:w="1304"/>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664" w:type="dxa"/>
            <w:vAlign w:val="center"/>
          </w:tcPr>
          <w:p>
            <w:pPr>
              <w:spacing w:line="240" w:lineRule="auto"/>
              <w:ind w:firstLine="0" w:firstLineChars="0"/>
              <w:jc w:val="center"/>
              <w:rPr>
                <w:b/>
                <w:bCs/>
                <w:sz w:val="21"/>
                <w:szCs w:val="21"/>
              </w:rPr>
            </w:pPr>
          </w:p>
          <w:p>
            <w:pPr>
              <w:spacing w:line="240" w:lineRule="auto"/>
              <w:ind w:firstLine="0" w:firstLineChars="0"/>
              <w:jc w:val="center"/>
              <w:rPr>
                <w:b/>
                <w:bCs/>
                <w:sz w:val="21"/>
                <w:szCs w:val="21"/>
              </w:rPr>
            </w:pPr>
          </w:p>
          <w:p>
            <w:pPr>
              <w:spacing w:line="240" w:lineRule="auto"/>
              <w:ind w:firstLine="0" w:firstLineChars="0"/>
              <w:jc w:val="center"/>
              <w:rPr>
                <w:b/>
                <w:bCs/>
                <w:sz w:val="21"/>
                <w:szCs w:val="21"/>
              </w:rPr>
            </w:pPr>
            <w:r>
              <w:rPr>
                <w:rFonts w:hint="eastAsia"/>
                <w:b/>
                <w:bCs/>
                <w:sz w:val="21"/>
                <w:szCs w:val="21"/>
              </w:rPr>
              <w:t>项  目</w:t>
            </w:r>
          </w:p>
          <w:p>
            <w:pPr>
              <w:spacing w:line="240" w:lineRule="auto"/>
              <w:ind w:firstLine="0" w:firstLineChars="0"/>
              <w:jc w:val="center"/>
              <w:rPr>
                <w:b/>
                <w:bCs/>
                <w:sz w:val="21"/>
                <w:szCs w:val="21"/>
              </w:rPr>
            </w:pPr>
            <w:r>
              <w:rPr>
                <w:rFonts w:hint="eastAsia"/>
                <w:b/>
                <w:bCs/>
                <w:sz w:val="21"/>
                <w:szCs w:val="21"/>
              </w:rPr>
              <w:t>年  份</w:t>
            </w:r>
          </w:p>
        </w:tc>
        <w:tc>
          <w:tcPr>
            <w:tcW w:w="913" w:type="dxa"/>
            <w:tcBorders>
              <w:bottom w:val="single" w:color="auto" w:sz="4" w:space="0"/>
            </w:tcBorders>
            <w:vAlign w:val="center"/>
          </w:tcPr>
          <w:p>
            <w:pPr>
              <w:spacing w:line="240" w:lineRule="auto"/>
              <w:ind w:firstLine="0" w:firstLineChars="0"/>
              <w:jc w:val="center"/>
              <w:rPr>
                <w:b/>
                <w:bCs/>
                <w:sz w:val="21"/>
                <w:szCs w:val="21"/>
              </w:rPr>
            </w:pPr>
            <w:r>
              <w:rPr>
                <w:b/>
                <w:bCs/>
                <w:sz w:val="21"/>
                <w:szCs w:val="21"/>
              </w:rPr>
              <w:t>2016年</w:t>
            </w:r>
          </w:p>
        </w:tc>
        <w:tc>
          <w:tcPr>
            <w:tcW w:w="1091" w:type="dxa"/>
            <w:vAlign w:val="center"/>
          </w:tcPr>
          <w:p>
            <w:pPr>
              <w:spacing w:line="240" w:lineRule="auto"/>
              <w:ind w:firstLine="0" w:firstLineChars="0"/>
              <w:jc w:val="center"/>
              <w:rPr>
                <w:b/>
                <w:bCs/>
                <w:sz w:val="21"/>
                <w:szCs w:val="21"/>
              </w:rPr>
            </w:pPr>
            <w:r>
              <w:rPr>
                <w:b/>
                <w:bCs/>
                <w:sz w:val="21"/>
                <w:szCs w:val="21"/>
              </w:rPr>
              <w:t>2017年</w:t>
            </w:r>
          </w:p>
        </w:tc>
        <w:tc>
          <w:tcPr>
            <w:tcW w:w="1084" w:type="dxa"/>
            <w:vAlign w:val="center"/>
          </w:tcPr>
          <w:p>
            <w:pPr>
              <w:spacing w:line="240" w:lineRule="auto"/>
              <w:ind w:firstLine="0" w:firstLineChars="0"/>
              <w:jc w:val="center"/>
              <w:rPr>
                <w:b/>
                <w:bCs/>
                <w:sz w:val="21"/>
                <w:szCs w:val="21"/>
              </w:rPr>
            </w:pPr>
            <w:r>
              <w:rPr>
                <w:b/>
                <w:bCs/>
                <w:sz w:val="21"/>
                <w:szCs w:val="21"/>
              </w:rPr>
              <w:t>2018年</w:t>
            </w:r>
          </w:p>
        </w:tc>
        <w:tc>
          <w:tcPr>
            <w:tcW w:w="1164" w:type="dxa"/>
            <w:vAlign w:val="center"/>
          </w:tcPr>
          <w:p>
            <w:pPr>
              <w:spacing w:line="240" w:lineRule="auto"/>
              <w:ind w:firstLine="0" w:firstLineChars="0"/>
              <w:jc w:val="center"/>
              <w:rPr>
                <w:b/>
                <w:bCs/>
                <w:sz w:val="21"/>
                <w:szCs w:val="21"/>
              </w:rPr>
            </w:pPr>
            <w:r>
              <w:rPr>
                <w:b/>
                <w:bCs/>
                <w:sz w:val="21"/>
                <w:szCs w:val="21"/>
              </w:rPr>
              <w:t>2019年</w:t>
            </w:r>
          </w:p>
        </w:tc>
        <w:tc>
          <w:tcPr>
            <w:tcW w:w="1304" w:type="dxa"/>
            <w:vAlign w:val="center"/>
          </w:tcPr>
          <w:p>
            <w:pPr>
              <w:spacing w:line="240" w:lineRule="auto"/>
              <w:ind w:firstLine="0" w:firstLineChars="0"/>
              <w:jc w:val="center"/>
              <w:rPr>
                <w:b/>
                <w:bCs/>
                <w:sz w:val="21"/>
                <w:szCs w:val="21"/>
              </w:rPr>
            </w:pPr>
            <w:r>
              <w:rPr>
                <w:rFonts w:hint="eastAsia"/>
                <w:b/>
                <w:bCs/>
                <w:sz w:val="21"/>
                <w:szCs w:val="21"/>
              </w:rPr>
              <w:t>2020年</w:t>
            </w:r>
          </w:p>
          <w:p>
            <w:pPr>
              <w:spacing w:line="240" w:lineRule="auto"/>
              <w:ind w:firstLine="0" w:firstLineChars="0"/>
              <w:jc w:val="center"/>
              <w:rPr>
                <w:b/>
                <w:bCs/>
                <w:sz w:val="21"/>
                <w:szCs w:val="21"/>
              </w:rPr>
            </w:pPr>
            <w:r>
              <w:rPr>
                <w:rFonts w:hint="eastAsia"/>
                <w:b/>
                <w:bCs/>
                <w:sz w:val="21"/>
                <w:szCs w:val="21"/>
              </w:rPr>
              <w:t>预计</w:t>
            </w:r>
          </w:p>
        </w:tc>
        <w:tc>
          <w:tcPr>
            <w:tcW w:w="1302" w:type="dxa"/>
            <w:vAlign w:val="center"/>
          </w:tcPr>
          <w:p>
            <w:pPr>
              <w:spacing w:line="240" w:lineRule="auto"/>
              <w:ind w:firstLine="0" w:firstLineChars="0"/>
              <w:jc w:val="center"/>
              <w:rPr>
                <w:b/>
                <w:bCs/>
                <w:sz w:val="21"/>
                <w:szCs w:val="21"/>
              </w:rPr>
            </w:pPr>
            <w:r>
              <w:rPr>
                <w:rFonts w:hint="eastAsia"/>
                <w:b/>
                <w:bCs/>
                <w:sz w:val="21"/>
                <w:szCs w:val="21"/>
              </w:rPr>
              <w:t>年均增长（%）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664" w:type="dxa"/>
            <w:vAlign w:val="center"/>
          </w:tcPr>
          <w:p>
            <w:pPr>
              <w:spacing w:line="240" w:lineRule="auto"/>
              <w:ind w:firstLine="0" w:firstLineChars="0"/>
              <w:jc w:val="center"/>
              <w:rPr>
                <w:sz w:val="21"/>
                <w:szCs w:val="21"/>
              </w:rPr>
            </w:pPr>
            <w:r>
              <w:rPr>
                <w:sz w:val="21"/>
                <w:szCs w:val="21"/>
              </w:rPr>
              <w:t>工业</w:t>
            </w:r>
            <w:r>
              <w:rPr>
                <w:rFonts w:hint="eastAsia"/>
                <w:sz w:val="21"/>
                <w:szCs w:val="21"/>
              </w:rPr>
              <w:t>总</w:t>
            </w:r>
            <w:r>
              <w:rPr>
                <w:sz w:val="21"/>
                <w:szCs w:val="21"/>
              </w:rPr>
              <w:t>产值</w:t>
            </w:r>
          </w:p>
          <w:p>
            <w:pPr>
              <w:spacing w:line="240" w:lineRule="auto"/>
              <w:ind w:firstLine="0" w:firstLineChars="0"/>
              <w:jc w:val="center"/>
              <w:rPr>
                <w:sz w:val="21"/>
                <w:szCs w:val="21"/>
              </w:rPr>
            </w:pPr>
            <w:r>
              <w:rPr>
                <w:rFonts w:hint="eastAsia"/>
                <w:sz w:val="21"/>
                <w:szCs w:val="21"/>
              </w:rPr>
              <w:t>（亿元）</w:t>
            </w:r>
          </w:p>
        </w:tc>
        <w:tc>
          <w:tcPr>
            <w:tcW w:w="913" w:type="dxa"/>
            <w:tcBorders>
              <w:bottom w:val="nil"/>
            </w:tcBorders>
            <w:vAlign w:val="center"/>
          </w:tcPr>
          <w:p>
            <w:pPr>
              <w:widowControl/>
              <w:ind w:firstLine="0" w:firstLineChars="0"/>
              <w:jc w:val="center"/>
              <w:textAlignment w:val="center"/>
              <w:rPr>
                <w:sz w:val="21"/>
                <w:szCs w:val="21"/>
              </w:rPr>
            </w:pPr>
            <w:r>
              <w:rPr>
                <w:rFonts w:eastAsia="宋体"/>
                <w:kern w:val="0"/>
                <w:sz w:val="22"/>
                <w:szCs w:val="22"/>
                <w:lang w:bidi="ar"/>
              </w:rPr>
              <w:t>141.0</w:t>
            </w:r>
          </w:p>
        </w:tc>
        <w:tc>
          <w:tcPr>
            <w:tcW w:w="1091" w:type="dxa"/>
            <w:vAlign w:val="center"/>
          </w:tcPr>
          <w:p>
            <w:pPr>
              <w:widowControl/>
              <w:ind w:firstLine="0" w:firstLineChars="0"/>
              <w:jc w:val="center"/>
              <w:textAlignment w:val="center"/>
              <w:rPr>
                <w:sz w:val="21"/>
                <w:szCs w:val="21"/>
              </w:rPr>
            </w:pPr>
            <w:r>
              <w:rPr>
                <w:rFonts w:eastAsia="宋体"/>
                <w:kern w:val="0"/>
                <w:sz w:val="22"/>
                <w:szCs w:val="22"/>
                <w:lang w:bidi="ar"/>
              </w:rPr>
              <w:t>178.8</w:t>
            </w:r>
          </w:p>
        </w:tc>
        <w:tc>
          <w:tcPr>
            <w:tcW w:w="1084" w:type="dxa"/>
            <w:vAlign w:val="center"/>
          </w:tcPr>
          <w:p>
            <w:pPr>
              <w:widowControl/>
              <w:ind w:firstLine="0" w:firstLineChars="0"/>
              <w:jc w:val="center"/>
              <w:textAlignment w:val="center"/>
              <w:rPr>
                <w:sz w:val="21"/>
                <w:szCs w:val="21"/>
              </w:rPr>
            </w:pPr>
            <w:r>
              <w:rPr>
                <w:rFonts w:eastAsia="宋体"/>
                <w:kern w:val="0"/>
                <w:sz w:val="22"/>
                <w:szCs w:val="22"/>
                <w:lang w:bidi="ar"/>
              </w:rPr>
              <w:t>165.0</w:t>
            </w:r>
          </w:p>
        </w:tc>
        <w:tc>
          <w:tcPr>
            <w:tcW w:w="1164" w:type="dxa"/>
            <w:vAlign w:val="center"/>
          </w:tcPr>
          <w:p>
            <w:pPr>
              <w:widowControl/>
              <w:ind w:firstLine="0" w:firstLineChars="0"/>
              <w:jc w:val="center"/>
              <w:textAlignment w:val="center"/>
              <w:rPr>
                <w:sz w:val="21"/>
                <w:szCs w:val="21"/>
              </w:rPr>
            </w:pPr>
            <w:r>
              <w:rPr>
                <w:rFonts w:eastAsia="宋体"/>
                <w:kern w:val="0"/>
                <w:sz w:val="22"/>
                <w:szCs w:val="22"/>
                <w:lang w:bidi="ar"/>
              </w:rPr>
              <w:t>174.0</w:t>
            </w:r>
          </w:p>
        </w:tc>
        <w:tc>
          <w:tcPr>
            <w:tcW w:w="1304" w:type="dxa"/>
            <w:vAlign w:val="center"/>
          </w:tcPr>
          <w:p>
            <w:pPr>
              <w:widowControl/>
              <w:ind w:firstLine="0" w:firstLineChars="0"/>
              <w:jc w:val="center"/>
              <w:textAlignment w:val="center"/>
              <w:rPr>
                <w:sz w:val="21"/>
                <w:szCs w:val="21"/>
              </w:rPr>
            </w:pPr>
            <w:r>
              <w:rPr>
                <w:rFonts w:eastAsia="宋体"/>
                <w:kern w:val="0"/>
                <w:sz w:val="22"/>
                <w:szCs w:val="22"/>
                <w:lang w:bidi="ar"/>
              </w:rPr>
              <w:t>131.5</w:t>
            </w:r>
          </w:p>
        </w:tc>
        <w:tc>
          <w:tcPr>
            <w:tcW w:w="1302" w:type="dxa"/>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664" w:type="dxa"/>
            <w:vAlign w:val="center"/>
          </w:tcPr>
          <w:p>
            <w:pPr>
              <w:spacing w:line="240" w:lineRule="auto"/>
              <w:ind w:firstLine="0" w:firstLineChars="0"/>
              <w:jc w:val="center"/>
              <w:rPr>
                <w:sz w:val="21"/>
                <w:szCs w:val="21"/>
              </w:rPr>
            </w:pPr>
            <w:r>
              <w:rPr>
                <w:sz w:val="21"/>
                <w:szCs w:val="21"/>
              </w:rPr>
              <w:t>工业</w:t>
            </w:r>
            <w:r>
              <w:rPr>
                <w:rFonts w:hint="eastAsia"/>
                <w:sz w:val="21"/>
                <w:szCs w:val="21"/>
              </w:rPr>
              <w:t>总</w:t>
            </w:r>
            <w:r>
              <w:rPr>
                <w:sz w:val="21"/>
                <w:szCs w:val="21"/>
              </w:rPr>
              <w:t>产值</w:t>
            </w:r>
            <w:r>
              <w:rPr>
                <w:rFonts w:hint="eastAsia"/>
                <w:sz w:val="21"/>
                <w:szCs w:val="21"/>
              </w:rPr>
              <w:t>增速（%）</w:t>
            </w:r>
          </w:p>
        </w:tc>
        <w:tc>
          <w:tcPr>
            <w:tcW w:w="913" w:type="dxa"/>
            <w:vAlign w:val="center"/>
          </w:tcPr>
          <w:p>
            <w:pPr>
              <w:ind w:firstLine="420"/>
              <w:jc w:val="center"/>
              <w:rPr>
                <w:rFonts w:eastAsia="宋体"/>
                <w:sz w:val="21"/>
                <w:szCs w:val="21"/>
              </w:rPr>
            </w:pPr>
            <w:r>
              <w:rPr>
                <w:rFonts w:hint="eastAsia"/>
                <w:sz w:val="21"/>
                <w:szCs w:val="21"/>
              </w:rPr>
              <w:t>\</w:t>
            </w:r>
          </w:p>
        </w:tc>
        <w:tc>
          <w:tcPr>
            <w:tcW w:w="1091" w:type="dxa"/>
            <w:vAlign w:val="center"/>
          </w:tcPr>
          <w:p>
            <w:pPr>
              <w:widowControl/>
              <w:ind w:firstLine="0" w:firstLineChars="0"/>
              <w:jc w:val="center"/>
              <w:textAlignment w:val="center"/>
              <w:rPr>
                <w:sz w:val="21"/>
                <w:szCs w:val="21"/>
              </w:rPr>
            </w:pPr>
            <w:r>
              <w:rPr>
                <w:rFonts w:eastAsia="宋体"/>
                <w:kern w:val="0"/>
                <w:sz w:val="22"/>
                <w:szCs w:val="22"/>
                <w:lang w:bidi="ar"/>
              </w:rPr>
              <w:t>26.8</w:t>
            </w:r>
          </w:p>
        </w:tc>
        <w:tc>
          <w:tcPr>
            <w:tcW w:w="1084" w:type="dxa"/>
            <w:vAlign w:val="center"/>
          </w:tcPr>
          <w:p>
            <w:pPr>
              <w:widowControl/>
              <w:ind w:firstLine="0" w:firstLineChars="0"/>
              <w:jc w:val="center"/>
              <w:textAlignment w:val="center"/>
              <w:rPr>
                <w:sz w:val="21"/>
                <w:szCs w:val="21"/>
              </w:rPr>
            </w:pPr>
            <w:r>
              <w:rPr>
                <w:rFonts w:eastAsia="宋体"/>
                <w:kern w:val="0"/>
                <w:sz w:val="22"/>
                <w:szCs w:val="22"/>
                <w:lang w:bidi="ar"/>
              </w:rPr>
              <w:t>10.8</w:t>
            </w:r>
          </w:p>
        </w:tc>
        <w:tc>
          <w:tcPr>
            <w:tcW w:w="1164" w:type="dxa"/>
            <w:vAlign w:val="center"/>
          </w:tcPr>
          <w:p>
            <w:pPr>
              <w:widowControl/>
              <w:ind w:firstLine="0" w:firstLineChars="0"/>
              <w:jc w:val="center"/>
              <w:textAlignment w:val="center"/>
              <w:rPr>
                <w:sz w:val="21"/>
                <w:szCs w:val="21"/>
              </w:rPr>
            </w:pPr>
            <w:r>
              <w:rPr>
                <w:rFonts w:eastAsia="宋体"/>
                <w:kern w:val="0"/>
                <w:sz w:val="22"/>
                <w:szCs w:val="22"/>
                <w:lang w:bidi="ar"/>
              </w:rPr>
              <w:t>6.3</w:t>
            </w:r>
          </w:p>
        </w:tc>
        <w:tc>
          <w:tcPr>
            <w:tcW w:w="1304" w:type="dxa"/>
            <w:vAlign w:val="center"/>
          </w:tcPr>
          <w:p>
            <w:pPr>
              <w:widowControl/>
              <w:ind w:firstLine="0" w:firstLineChars="0"/>
              <w:jc w:val="center"/>
              <w:textAlignment w:val="center"/>
              <w:rPr>
                <w:sz w:val="21"/>
                <w:szCs w:val="21"/>
              </w:rPr>
            </w:pPr>
            <w:r>
              <w:rPr>
                <w:rFonts w:eastAsia="宋体"/>
                <w:kern w:val="0"/>
                <w:sz w:val="22"/>
                <w:szCs w:val="22"/>
                <w:lang w:bidi="ar"/>
              </w:rPr>
              <w:t>-19.7</w:t>
            </w:r>
          </w:p>
        </w:tc>
        <w:tc>
          <w:tcPr>
            <w:tcW w:w="1302" w:type="dxa"/>
            <w:vAlign w:val="center"/>
          </w:tcPr>
          <w:p>
            <w:pPr>
              <w:spacing w:line="240" w:lineRule="auto"/>
              <w:ind w:firstLine="0" w:firstLineChars="0"/>
              <w:jc w:val="center"/>
              <w:rPr>
                <w:sz w:val="21"/>
                <w:szCs w:val="21"/>
              </w:rPr>
            </w:pPr>
            <w:r>
              <w:rPr>
                <w:rFonts w:hint="eastAsia"/>
                <w:sz w:val="21"/>
                <w:szCs w:val="21"/>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1664" w:type="dxa"/>
            <w:vAlign w:val="center"/>
          </w:tcPr>
          <w:p>
            <w:pPr>
              <w:spacing w:line="240" w:lineRule="auto"/>
              <w:ind w:firstLine="0" w:firstLineChars="0"/>
              <w:jc w:val="center"/>
              <w:rPr>
                <w:sz w:val="21"/>
                <w:szCs w:val="21"/>
              </w:rPr>
            </w:pPr>
            <w:r>
              <w:rPr>
                <w:sz w:val="21"/>
                <w:szCs w:val="21"/>
              </w:rPr>
              <w:t>工业增加值</w:t>
            </w:r>
          </w:p>
          <w:p>
            <w:pPr>
              <w:spacing w:line="240" w:lineRule="auto"/>
              <w:ind w:firstLine="0" w:firstLineChars="0"/>
              <w:jc w:val="center"/>
              <w:rPr>
                <w:sz w:val="21"/>
                <w:szCs w:val="21"/>
              </w:rPr>
            </w:pPr>
            <w:r>
              <w:rPr>
                <w:rFonts w:hint="eastAsia"/>
                <w:sz w:val="21"/>
                <w:szCs w:val="21"/>
              </w:rPr>
              <w:t>（亿元）</w:t>
            </w:r>
          </w:p>
        </w:tc>
        <w:tc>
          <w:tcPr>
            <w:tcW w:w="913" w:type="dxa"/>
            <w:vAlign w:val="center"/>
          </w:tcPr>
          <w:p>
            <w:pPr>
              <w:widowControl/>
              <w:ind w:firstLine="0" w:firstLineChars="0"/>
              <w:jc w:val="center"/>
              <w:textAlignment w:val="center"/>
              <w:rPr>
                <w:sz w:val="21"/>
                <w:szCs w:val="21"/>
              </w:rPr>
            </w:pPr>
            <w:r>
              <w:rPr>
                <w:rFonts w:eastAsia="宋体"/>
                <w:kern w:val="0"/>
                <w:sz w:val="22"/>
                <w:szCs w:val="22"/>
                <w:lang w:bidi="ar"/>
              </w:rPr>
              <w:t>25.8</w:t>
            </w:r>
          </w:p>
        </w:tc>
        <w:tc>
          <w:tcPr>
            <w:tcW w:w="1091" w:type="dxa"/>
            <w:vAlign w:val="center"/>
          </w:tcPr>
          <w:p>
            <w:pPr>
              <w:widowControl/>
              <w:ind w:firstLine="0" w:firstLineChars="0"/>
              <w:jc w:val="center"/>
              <w:textAlignment w:val="center"/>
              <w:rPr>
                <w:sz w:val="21"/>
                <w:szCs w:val="21"/>
              </w:rPr>
            </w:pPr>
            <w:r>
              <w:rPr>
                <w:rFonts w:eastAsia="宋体"/>
                <w:kern w:val="0"/>
                <w:sz w:val="22"/>
                <w:szCs w:val="22"/>
                <w:lang w:bidi="ar"/>
              </w:rPr>
              <w:t>32.6</w:t>
            </w:r>
          </w:p>
        </w:tc>
        <w:tc>
          <w:tcPr>
            <w:tcW w:w="1084" w:type="dxa"/>
            <w:vAlign w:val="center"/>
          </w:tcPr>
          <w:p>
            <w:pPr>
              <w:widowControl/>
              <w:ind w:firstLine="0" w:firstLineChars="0"/>
              <w:jc w:val="center"/>
              <w:textAlignment w:val="center"/>
              <w:rPr>
                <w:sz w:val="21"/>
                <w:szCs w:val="21"/>
              </w:rPr>
            </w:pPr>
            <w:r>
              <w:rPr>
                <w:rFonts w:eastAsia="宋体"/>
                <w:kern w:val="0"/>
                <w:sz w:val="22"/>
                <w:szCs w:val="22"/>
                <w:lang w:bidi="ar"/>
              </w:rPr>
              <w:t>31.8</w:t>
            </w:r>
          </w:p>
        </w:tc>
        <w:tc>
          <w:tcPr>
            <w:tcW w:w="1164" w:type="dxa"/>
            <w:vAlign w:val="center"/>
          </w:tcPr>
          <w:p>
            <w:pPr>
              <w:widowControl/>
              <w:ind w:firstLine="0" w:firstLineChars="0"/>
              <w:jc w:val="center"/>
              <w:textAlignment w:val="center"/>
              <w:rPr>
                <w:sz w:val="21"/>
                <w:szCs w:val="21"/>
              </w:rPr>
            </w:pPr>
            <w:r>
              <w:rPr>
                <w:rFonts w:eastAsia="宋体"/>
                <w:kern w:val="0"/>
                <w:sz w:val="22"/>
                <w:szCs w:val="22"/>
                <w:lang w:bidi="ar"/>
              </w:rPr>
              <w:t>32.6</w:t>
            </w:r>
          </w:p>
        </w:tc>
        <w:tc>
          <w:tcPr>
            <w:tcW w:w="1304" w:type="dxa"/>
            <w:vAlign w:val="center"/>
          </w:tcPr>
          <w:p>
            <w:pPr>
              <w:widowControl/>
              <w:ind w:firstLine="0" w:firstLineChars="0"/>
              <w:jc w:val="center"/>
              <w:textAlignment w:val="center"/>
              <w:rPr>
                <w:sz w:val="21"/>
                <w:szCs w:val="21"/>
              </w:rPr>
            </w:pPr>
            <w:r>
              <w:rPr>
                <w:rFonts w:eastAsia="宋体"/>
                <w:kern w:val="0"/>
                <w:sz w:val="22"/>
                <w:szCs w:val="22"/>
                <w:lang w:bidi="ar"/>
              </w:rPr>
              <w:t>23.2</w:t>
            </w:r>
          </w:p>
        </w:tc>
        <w:tc>
          <w:tcPr>
            <w:tcW w:w="1302" w:type="dxa"/>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664" w:type="dxa"/>
            <w:vAlign w:val="center"/>
          </w:tcPr>
          <w:p>
            <w:pPr>
              <w:spacing w:line="240" w:lineRule="auto"/>
              <w:ind w:firstLine="0" w:firstLineChars="0"/>
              <w:jc w:val="center"/>
              <w:rPr>
                <w:sz w:val="21"/>
                <w:szCs w:val="21"/>
              </w:rPr>
            </w:pPr>
            <w:r>
              <w:rPr>
                <w:sz w:val="21"/>
                <w:szCs w:val="21"/>
              </w:rPr>
              <w:t>工业增加值</w:t>
            </w:r>
            <w:r>
              <w:rPr>
                <w:rFonts w:hint="eastAsia"/>
                <w:sz w:val="21"/>
                <w:szCs w:val="21"/>
              </w:rPr>
              <w:t>增速（%）</w:t>
            </w:r>
          </w:p>
        </w:tc>
        <w:tc>
          <w:tcPr>
            <w:tcW w:w="913" w:type="dxa"/>
            <w:vAlign w:val="center"/>
          </w:tcPr>
          <w:p>
            <w:pPr>
              <w:ind w:firstLine="420"/>
              <w:jc w:val="center"/>
              <w:rPr>
                <w:rFonts w:eastAsia="宋体"/>
                <w:sz w:val="21"/>
                <w:szCs w:val="21"/>
              </w:rPr>
            </w:pPr>
            <w:r>
              <w:rPr>
                <w:rFonts w:hint="eastAsia"/>
                <w:sz w:val="21"/>
                <w:szCs w:val="21"/>
              </w:rPr>
              <w:t>\</w:t>
            </w:r>
          </w:p>
        </w:tc>
        <w:tc>
          <w:tcPr>
            <w:tcW w:w="1091" w:type="dxa"/>
            <w:vAlign w:val="center"/>
          </w:tcPr>
          <w:p>
            <w:pPr>
              <w:widowControl/>
              <w:ind w:firstLine="0" w:firstLineChars="0"/>
              <w:jc w:val="center"/>
              <w:textAlignment w:val="center"/>
              <w:rPr>
                <w:sz w:val="21"/>
                <w:szCs w:val="21"/>
              </w:rPr>
            </w:pPr>
            <w:r>
              <w:rPr>
                <w:rFonts w:eastAsia="宋体"/>
                <w:kern w:val="0"/>
                <w:sz w:val="22"/>
                <w:szCs w:val="22"/>
                <w:lang w:bidi="ar"/>
              </w:rPr>
              <w:t>26.1</w:t>
            </w:r>
          </w:p>
        </w:tc>
        <w:tc>
          <w:tcPr>
            <w:tcW w:w="1084" w:type="dxa"/>
            <w:vAlign w:val="center"/>
          </w:tcPr>
          <w:p>
            <w:pPr>
              <w:widowControl/>
              <w:ind w:firstLine="0" w:firstLineChars="0"/>
              <w:jc w:val="center"/>
              <w:textAlignment w:val="center"/>
              <w:rPr>
                <w:sz w:val="21"/>
                <w:szCs w:val="21"/>
              </w:rPr>
            </w:pPr>
            <w:r>
              <w:rPr>
                <w:rFonts w:eastAsia="宋体"/>
                <w:kern w:val="0"/>
                <w:sz w:val="22"/>
                <w:szCs w:val="22"/>
                <w:lang w:bidi="ar"/>
              </w:rPr>
              <w:t>22.4</w:t>
            </w:r>
          </w:p>
        </w:tc>
        <w:tc>
          <w:tcPr>
            <w:tcW w:w="1164" w:type="dxa"/>
            <w:vAlign w:val="center"/>
          </w:tcPr>
          <w:p>
            <w:pPr>
              <w:widowControl/>
              <w:ind w:firstLine="0" w:firstLineChars="0"/>
              <w:jc w:val="center"/>
              <w:textAlignment w:val="center"/>
              <w:rPr>
                <w:sz w:val="21"/>
                <w:szCs w:val="21"/>
              </w:rPr>
            </w:pPr>
            <w:r>
              <w:rPr>
                <w:rFonts w:eastAsia="宋体"/>
                <w:kern w:val="0"/>
                <w:sz w:val="22"/>
                <w:szCs w:val="22"/>
                <w:lang w:bidi="ar"/>
              </w:rPr>
              <w:t>8.7</w:t>
            </w:r>
          </w:p>
        </w:tc>
        <w:tc>
          <w:tcPr>
            <w:tcW w:w="1304" w:type="dxa"/>
            <w:vAlign w:val="center"/>
          </w:tcPr>
          <w:p>
            <w:pPr>
              <w:widowControl/>
              <w:ind w:firstLine="0" w:firstLineChars="0"/>
              <w:jc w:val="center"/>
              <w:textAlignment w:val="center"/>
              <w:rPr>
                <w:sz w:val="21"/>
                <w:szCs w:val="21"/>
              </w:rPr>
            </w:pPr>
            <w:r>
              <w:rPr>
                <w:rFonts w:eastAsia="宋体"/>
                <w:kern w:val="0"/>
                <w:sz w:val="22"/>
                <w:szCs w:val="22"/>
                <w:lang w:bidi="ar"/>
              </w:rPr>
              <w:t>-23.6</w:t>
            </w:r>
          </w:p>
        </w:tc>
        <w:tc>
          <w:tcPr>
            <w:tcW w:w="1302" w:type="dxa"/>
            <w:vAlign w:val="center"/>
          </w:tcPr>
          <w:p>
            <w:pPr>
              <w:spacing w:line="240" w:lineRule="auto"/>
              <w:ind w:firstLine="0" w:firstLineChars="0"/>
              <w:jc w:val="center"/>
              <w:rPr>
                <w:sz w:val="21"/>
                <w:szCs w:val="21"/>
              </w:rPr>
            </w:pPr>
            <w:r>
              <w:rPr>
                <w:rFonts w:hint="eastAsia"/>
                <w:sz w:val="21"/>
                <w:szCs w:val="21"/>
              </w:rPr>
              <w:t>6.4</w:t>
            </w:r>
          </w:p>
        </w:tc>
      </w:tr>
    </w:tbl>
    <w:p>
      <w:pPr>
        <w:ind w:firstLine="640"/>
      </w:pPr>
    </w:p>
    <w:p>
      <w:pPr>
        <w:pStyle w:val="7"/>
        <w:ind w:left="2560" w:firstLine="640"/>
      </w:pPr>
    </w:p>
    <w:p>
      <w:pPr>
        <w:ind w:firstLine="640"/>
      </w:pPr>
    </w:p>
    <w:p>
      <w:pPr>
        <w:pStyle w:val="4"/>
        <w:jc w:val="center"/>
        <w:rPr>
          <w:color w:val="auto"/>
          <w:szCs w:val="22"/>
        </w:rPr>
      </w:pPr>
      <w:bookmarkStart w:id="125" w:name="_Toc21163"/>
      <w:r>
        <w:rPr>
          <w:rFonts w:hint="eastAsia"/>
          <w:color w:val="auto"/>
          <w:szCs w:val="22"/>
        </w:rPr>
        <w:t xml:space="preserve">附表2  </w:t>
      </w:r>
      <w:bookmarkStart w:id="126" w:name="_Hlk58060222"/>
      <w:r>
        <w:rPr>
          <w:rFonts w:hint="eastAsia"/>
          <w:color w:val="auto"/>
          <w:szCs w:val="22"/>
        </w:rPr>
        <w:t>玉溪市“十四五”绿色食品制造业预期主要</w:t>
      </w:r>
      <w:bookmarkEnd w:id="125"/>
    </w:p>
    <w:p>
      <w:pPr>
        <w:pStyle w:val="4"/>
        <w:jc w:val="center"/>
        <w:rPr>
          <w:color w:val="auto"/>
          <w:szCs w:val="22"/>
        </w:rPr>
      </w:pPr>
      <w:bookmarkStart w:id="127" w:name="_Toc29944"/>
      <w:r>
        <w:rPr>
          <w:rFonts w:hint="eastAsia"/>
          <w:color w:val="auto"/>
          <w:szCs w:val="22"/>
        </w:rPr>
        <w:t>经济指标表</w:t>
      </w:r>
      <w:bookmarkEnd w:id="127"/>
    </w:p>
    <w:bookmarkEnd w:id="126"/>
    <w:tbl>
      <w:tblPr>
        <w:tblStyle w:val="2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6"/>
        <w:gridCol w:w="970"/>
        <w:gridCol w:w="1089"/>
        <w:gridCol w:w="1273"/>
        <w:gridCol w:w="951"/>
        <w:gridCol w:w="1220"/>
        <w:gridCol w:w="1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trPr>
        <w:tc>
          <w:tcPr>
            <w:tcW w:w="1636" w:type="dxa"/>
            <w:vAlign w:val="center"/>
          </w:tcPr>
          <w:p>
            <w:pPr>
              <w:pStyle w:val="2"/>
              <w:spacing w:line="240" w:lineRule="auto"/>
              <w:ind w:firstLine="0" w:firstLineChars="0"/>
              <w:rPr>
                <w:b/>
                <w:bCs/>
                <w:color w:val="auto"/>
                <w:sz w:val="24"/>
                <w:szCs w:val="24"/>
              </w:rPr>
            </w:pPr>
            <w:r>
              <w:rPr>
                <w:rFonts w:hint="eastAsia"/>
                <w:b/>
                <w:bCs/>
                <w:color w:val="auto"/>
                <w:sz w:val="24"/>
                <w:szCs w:val="24"/>
              </w:rPr>
              <w:t>指标</w:t>
            </w:r>
          </w:p>
        </w:tc>
        <w:tc>
          <w:tcPr>
            <w:tcW w:w="970" w:type="dxa"/>
            <w:vAlign w:val="center"/>
          </w:tcPr>
          <w:p>
            <w:pPr>
              <w:pStyle w:val="2"/>
              <w:spacing w:line="240" w:lineRule="auto"/>
              <w:ind w:firstLine="0" w:firstLineChars="0"/>
              <w:rPr>
                <w:b/>
                <w:bCs/>
                <w:color w:val="auto"/>
                <w:sz w:val="24"/>
                <w:szCs w:val="24"/>
              </w:rPr>
            </w:pPr>
            <w:r>
              <w:rPr>
                <w:rFonts w:hint="eastAsia"/>
                <w:b/>
                <w:bCs/>
                <w:color w:val="auto"/>
                <w:sz w:val="24"/>
                <w:szCs w:val="24"/>
              </w:rPr>
              <w:t>2</w:t>
            </w:r>
            <w:r>
              <w:rPr>
                <w:b/>
                <w:bCs/>
                <w:color w:val="auto"/>
                <w:sz w:val="24"/>
                <w:szCs w:val="24"/>
              </w:rPr>
              <w:t>021</w:t>
            </w:r>
          </w:p>
        </w:tc>
        <w:tc>
          <w:tcPr>
            <w:tcW w:w="1089" w:type="dxa"/>
            <w:vAlign w:val="center"/>
          </w:tcPr>
          <w:p>
            <w:pPr>
              <w:pStyle w:val="2"/>
              <w:spacing w:line="240" w:lineRule="auto"/>
              <w:ind w:firstLine="0" w:firstLineChars="0"/>
              <w:rPr>
                <w:b/>
                <w:bCs/>
                <w:color w:val="auto"/>
                <w:sz w:val="24"/>
                <w:szCs w:val="24"/>
              </w:rPr>
            </w:pPr>
            <w:r>
              <w:rPr>
                <w:rFonts w:hint="eastAsia"/>
                <w:b/>
                <w:bCs/>
                <w:color w:val="auto"/>
                <w:sz w:val="24"/>
                <w:szCs w:val="24"/>
              </w:rPr>
              <w:t>2</w:t>
            </w:r>
            <w:r>
              <w:rPr>
                <w:b/>
                <w:bCs/>
                <w:color w:val="auto"/>
                <w:sz w:val="24"/>
                <w:szCs w:val="24"/>
              </w:rPr>
              <w:t>022</w:t>
            </w:r>
          </w:p>
        </w:tc>
        <w:tc>
          <w:tcPr>
            <w:tcW w:w="1273" w:type="dxa"/>
            <w:vAlign w:val="center"/>
          </w:tcPr>
          <w:p>
            <w:pPr>
              <w:pStyle w:val="2"/>
              <w:spacing w:line="240" w:lineRule="auto"/>
              <w:ind w:firstLine="0" w:firstLineChars="0"/>
              <w:rPr>
                <w:b/>
                <w:bCs/>
                <w:color w:val="auto"/>
                <w:sz w:val="24"/>
                <w:szCs w:val="24"/>
              </w:rPr>
            </w:pPr>
            <w:r>
              <w:rPr>
                <w:rFonts w:hint="eastAsia"/>
                <w:b/>
                <w:bCs/>
                <w:color w:val="auto"/>
                <w:sz w:val="24"/>
                <w:szCs w:val="24"/>
              </w:rPr>
              <w:t>2</w:t>
            </w:r>
            <w:r>
              <w:rPr>
                <w:b/>
                <w:bCs/>
                <w:color w:val="auto"/>
                <w:sz w:val="24"/>
                <w:szCs w:val="24"/>
              </w:rPr>
              <w:t>023</w:t>
            </w:r>
          </w:p>
        </w:tc>
        <w:tc>
          <w:tcPr>
            <w:tcW w:w="951" w:type="dxa"/>
            <w:vAlign w:val="center"/>
          </w:tcPr>
          <w:p>
            <w:pPr>
              <w:pStyle w:val="2"/>
              <w:spacing w:line="240" w:lineRule="auto"/>
              <w:ind w:firstLine="0" w:firstLineChars="0"/>
              <w:rPr>
                <w:b/>
                <w:bCs/>
                <w:color w:val="auto"/>
                <w:sz w:val="24"/>
                <w:szCs w:val="24"/>
              </w:rPr>
            </w:pPr>
            <w:r>
              <w:rPr>
                <w:rFonts w:hint="eastAsia"/>
                <w:b/>
                <w:bCs/>
                <w:color w:val="auto"/>
                <w:sz w:val="24"/>
                <w:szCs w:val="24"/>
              </w:rPr>
              <w:t>2</w:t>
            </w:r>
            <w:r>
              <w:rPr>
                <w:b/>
                <w:bCs/>
                <w:color w:val="auto"/>
                <w:sz w:val="24"/>
                <w:szCs w:val="24"/>
              </w:rPr>
              <w:t>024</w:t>
            </w:r>
          </w:p>
        </w:tc>
        <w:tc>
          <w:tcPr>
            <w:tcW w:w="1220" w:type="dxa"/>
            <w:vAlign w:val="center"/>
          </w:tcPr>
          <w:p>
            <w:pPr>
              <w:pStyle w:val="2"/>
              <w:spacing w:line="240" w:lineRule="auto"/>
              <w:ind w:firstLine="0" w:firstLineChars="0"/>
              <w:rPr>
                <w:b/>
                <w:bCs/>
                <w:color w:val="auto"/>
                <w:sz w:val="24"/>
                <w:szCs w:val="24"/>
              </w:rPr>
            </w:pPr>
            <w:r>
              <w:rPr>
                <w:rFonts w:hint="eastAsia"/>
                <w:b/>
                <w:bCs/>
                <w:color w:val="auto"/>
                <w:sz w:val="24"/>
                <w:szCs w:val="24"/>
              </w:rPr>
              <w:t>2</w:t>
            </w:r>
            <w:r>
              <w:rPr>
                <w:b/>
                <w:bCs/>
                <w:color w:val="auto"/>
                <w:sz w:val="24"/>
                <w:szCs w:val="24"/>
              </w:rPr>
              <w:t>025</w:t>
            </w:r>
          </w:p>
        </w:tc>
        <w:tc>
          <w:tcPr>
            <w:tcW w:w="1383" w:type="dxa"/>
            <w:vAlign w:val="center"/>
          </w:tcPr>
          <w:p>
            <w:pPr>
              <w:pStyle w:val="2"/>
              <w:spacing w:line="240" w:lineRule="auto"/>
              <w:ind w:firstLine="0" w:firstLineChars="0"/>
              <w:rPr>
                <w:b/>
                <w:bCs/>
                <w:color w:val="auto"/>
                <w:sz w:val="24"/>
                <w:szCs w:val="24"/>
              </w:rPr>
            </w:pPr>
            <w:r>
              <w:rPr>
                <w:rFonts w:hint="eastAsia"/>
                <w:b/>
                <w:bCs/>
                <w:color w:val="auto"/>
                <w:sz w:val="24"/>
                <w:szCs w:val="24"/>
              </w:rPr>
              <w:t>年均增长（%）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trPr>
        <w:tc>
          <w:tcPr>
            <w:tcW w:w="1636" w:type="dxa"/>
            <w:vAlign w:val="center"/>
          </w:tcPr>
          <w:p>
            <w:pPr>
              <w:pStyle w:val="2"/>
              <w:spacing w:line="240" w:lineRule="auto"/>
              <w:ind w:firstLine="0" w:firstLineChars="0"/>
              <w:rPr>
                <w:color w:val="auto"/>
                <w:sz w:val="24"/>
                <w:szCs w:val="24"/>
              </w:rPr>
            </w:pPr>
            <w:r>
              <w:rPr>
                <w:rFonts w:hint="eastAsia"/>
                <w:color w:val="auto"/>
                <w:sz w:val="24"/>
                <w:szCs w:val="24"/>
              </w:rPr>
              <w:t>工业总产值（亿元）</w:t>
            </w:r>
          </w:p>
        </w:tc>
        <w:tc>
          <w:tcPr>
            <w:tcW w:w="970" w:type="dxa"/>
            <w:vAlign w:val="center"/>
          </w:tcPr>
          <w:p>
            <w:pPr>
              <w:widowControl/>
              <w:ind w:firstLine="0" w:firstLineChars="0"/>
              <w:jc w:val="center"/>
              <w:textAlignment w:val="center"/>
              <w:rPr>
                <w:bCs/>
                <w:color w:val="auto"/>
                <w:sz w:val="24"/>
                <w:szCs w:val="24"/>
              </w:rPr>
            </w:pPr>
            <w:r>
              <w:rPr>
                <w:rFonts w:hint="eastAsia" w:eastAsia="宋体"/>
                <w:bCs/>
                <w:color w:val="auto"/>
                <w:kern w:val="0"/>
                <w:sz w:val="22"/>
                <w:szCs w:val="22"/>
                <w:lang w:bidi="ar"/>
              </w:rPr>
              <w:t>150</w:t>
            </w:r>
          </w:p>
        </w:tc>
        <w:tc>
          <w:tcPr>
            <w:tcW w:w="1089" w:type="dxa"/>
            <w:vAlign w:val="center"/>
          </w:tcPr>
          <w:p>
            <w:pPr>
              <w:widowControl/>
              <w:ind w:firstLine="0" w:firstLineChars="0"/>
              <w:jc w:val="center"/>
              <w:textAlignment w:val="center"/>
              <w:rPr>
                <w:bCs/>
                <w:color w:val="auto"/>
                <w:sz w:val="24"/>
                <w:szCs w:val="24"/>
              </w:rPr>
            </w:pPr>
            <w:r>
              <w:rPr>
                <w:rFonts w:hint="eastAsia" w:eastAsia="宋体"/>
                <w:bCs/>
                <w:color w:val="auto"/>
                <w:kern w:val="0"/>
                <w:sz w:val="22"/>
                <w:szCs w:val="22"/>
                <w:lang w:bidi="ar"/>
              </w:rPr>
              <w:t>171</w:t>
            </w:r>
          </w:p>
        </w:tc>
        <w:tc>
          <w:tcPr>
            <w:tcW w:w="1273" w:type="dxa"/>
            <w:vAlign w:val="center"/>
          </w:tcPr>
          <w:p>
            <w:pPr>
              <w:widowControl/>
              <w:ind w:firstLine="0" w:firstLineChars="0"/>
              <w:jc w:val="center"/>
              <w:textAlignment w:val="center"/>
              <w:rPr>
                <w:bCs/>
                <w:color w:val="auto"/>
                <w:sz w:val="24"/>
                <w:szCs w:val="24"/>
              </w:rPr>
            </w:pPr>
            <w:r>
              <w:rPr>
                <w:rFonts w:hint="eastAsia" w:eastAsia="宋体"/>
                <w:bCs/>
                <w:color w:val="auto"/>
                <w:kern w:val="0"/>
                <w:sz w:val="22"/>
                <w:szCs w:val="22"/>
                <w:lang w:bidi="ar"/>
              </w:rPr>
              <w:t>195</w:t>
            </w:r>
          </w:p>
        </w:tc>
        <w:tc>
          <w:tcPr>
            <w:tcW w:w="951" w:type="dxa"/>
            <w:vAlign w:val="center"/>
          </w:tcPr>
          <w:p>
            <w:pPr>
              <w:widowControl/>
              <w:ind w:firstLine="0" w:firstLineChars="0"/>
              <w:jc w:val="center"/>
              <w:textAlignment w:val="center"/>
              <w:rPr>
                <w:bCs/>
                <w:color w:val="auto"/>
                <w:sz w:val="24"/>
                <w:szCs w:val="24"/>
              </w:rPr>
            </w:pPr>
            <w:r>
              <w:rPr>
                <w:rFonts w:hint="eastAsia" w:eastAsia="宋体"/>
                <w:bCs/>
                <w:color w:val="auto"/>
                <w:kern w:val="0"/>
                <w:sz w:val="22"/>
                <w:szCs w:val="22"/>
                <w:lang w:bidi="ar"/>
              </w:rPr>
              <w:t>222</w:t>
            </w:r>
          </w:p>
        </w:tc>
        <w:tc>
          <w:tcPr>
            <w:tcW w:w="1220" w:type="dxa"/>
            <w:vAlign w:val="center"/>
          </w:tcPr>
          <w:p>
            <w:pPr>
              <w:widowControl/>
              <w:ind w:firstLine="440"/>
              <w:textAlignment w:val="center"/>
              <w:rPr>
                <w:bCs/>
                <w:color w:val="auto"/>
                <w:sz w:val="24"/>
                <w:szCs w:val="24"/>
              </w:rPr>
            </w:pPr>
            <w:r>
              <w:rPr>
                <w:rFonts w:hint="eastAsia" w:eastAsia="宋体"/>
                <w:bCs/>
                <w:color w:val="auto"/>
                <w:kern w:val="0"/>
                <w:sz w:val="22"/>
                <w:szCs w:val="22"/>
                <w:lang w:bidi="ar"/>
              </w:rPr>
              <w:t>250</w:t>
            </w:r>
          </w:p>
        </w:tc>
        <w:tc>
          <w:tcPr>
            <w:tcW w:w="1383" w:type="dxa"/>
            <w:vAlign w:val="center"/>
          </w:tcPr>
          <w:p>
            <w:pPr>
              <w:pStyle w:val="2"/>
              <w:spacing w:line="240" w:lineRule="auto"/>
              <w:ind w:firstLine="0" w:firstLineChars="0"/>
              <w:rPr>
                <w:bCs/>
                <w:color w:val="auto"/>
                <w:sz w:val="24"/>
                <w:szCs w:val="24"/>
              </w:rPr>
            </w:pPr>
            <w:r>
              <w:rPr>
                <w:rFonts w:hint="eastAsia"/>
                <w:bCs/>
                <w:color w:val="auto"/>
                <w:sz w:val="24"/>
                <w:szCs w:val="24"/>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trPr>
        <w:tc>
          <w:tcPr>
            <w:tcW w:w="1636" w:type="dxa"/>
            <w:vAlign w:val="center"/>
          </w:tcPr>
          <w:p>
            <w:pPr>
              <w:pStyle w:val="2"/>
              <w:spacing w:line="240" w:lineRule="auto"/>
              <w:ind w:firstLine="0" w:firstLineChars="0"/>
              <w:rPr>
                <w:color w:val="auto"/>
                <w:sz w:val="24"/>
                <w:szCs w:val="24"/>
              </w:rPr>
            </w:pPr>
            <w:r>
              <w:rPr>
                <w:rFonts w:hint="eastAsia"/>
                <w:color w:val="auto"/>
                <w:sz w:val="24"/>
                <w:szCs w:val="24"/>
              </w:rPr>
              <w:t>工业增加值（亿元）</w:t>
            </w:r>
          </w:p>
        </w:tc>
        <w:tc>
          <w:tcPr>
            <w:tcW w:w="970" w:type="dxa"/>
            <w:vAlign w:val="center"/>
          </w:tcPr>
          <w:p>
            <w:pPr>
              <w:widowControl/>
              <w:ind w:firstLine="0" w:firstLineChars="0"/>
              <w:jc w:val="center"/>
              <w:textAlignment w:val="center"/>
              <w:rPr>
                <w:bCs/>
                <w:color w:val="auto"/>
                <w:sz w:val="24"/>
                <w:szCs w:val="24"/>
              </w:rPr>
            </w:pPr>
            <w:r>
              <w:rPr>
                <w:rFonts w:eastAsia="宋体"/>
                <w:bCs/>
                <w:color w:val="auto"/>
                <w:kern w:val="0"/>
                <w:sz w:val="22"/>
                <w:szCs w:val="22"/>
                <w:lang w:bidi="ar"/>
              </w:rPr>
              <w:t>26</w:t>
            </w:r>
          </w:p>
        </w:tc>
        <w:tc>
          <w:tcPr>
            <w:tcW w:w="1089" w:type="dxa"/>
            <w:vAlign w:val="center"/>
          </w:tcPr>
          <w:p>
            <w:pPr>
              <w:widowControl/>
              <w:ind w:firstLine="0" w:firstLineChars="0"/>
              <w:jc w:val="center"/>
              <w:textAlignment w:val="center"/>
              <w:rPr>
                <w:bCs/>
                <w:color w:val="auto"/>
                <w:sz w:val="24"/>
                <w:szCs w:val="24"/>
              </w:rPr>
            </w:pPr>
            <w:r>
              <w:rPr>
                <w:rFonts w:eastAsia="宋体"/>
                <w:bCs/>
                <w:color w:val="auto"/>
                <w:kern w:val="0"/>
                <w:sz w:val="22"/>
                <w:szCs w:val="22"/>
                <w:lang w:bidi="ar"/>
              </w:rPr>
              <w:t>30</w:t>
            </w:r>
          </w:p>
        </w:tc>
        <w:tc>
          <w:tcPr>
            <w:tcW w:w="1273" w:type="dxa"/>
            <w:vAlign w:val="center"/>
          </w:tcPr>
          <w:p>
            <w:pPr>
              <w:widowControl/>
              <w:ind w:firstLine="0" w:firstLineChars="0"/>
              <w:jc w:val="center"/>
              <w:textAlignment w:val="center"/>
              <w:rPr>
                <w:bCs/>
                <w:color w:val="auto"/>
                <w:sz w:val="24"/>
                <w:szCs w:val="24"/>
              </w:rPr>
            </w:pPr>
            <w:r>
              <w:rPr>
                <w:rFonts w:hint="eastAsia" w:eastAsia="宋体"/>
                <w:bCs/>
                <w:color w:val="auto"/>
                <w:kern w:val="0"/>
                <w:sz w:val="22"/>
                <w:szCs w:val="22"/>
                <w:lang w:bidi="ar"/>
              </w:rPr>
              <w:t>34</w:t>
            </w:r>
          </w:p>
        </w:tc>
        <w:tc>
          <w:tcPr>
            <w:tcW w:w="951" w:type="dxa"/>
            <w:vAlign w:val="center"/>
          </w:tcPr>
          <w:p>
            <w:pPr>
              <w:widowControl/>
              <w:ind w:firstLine="0" w:firstLineChars="0"/>
              <w:jc w:val="center"/>
              <w:textAlignment w:val="center"/>
              <w:rPr>
                <w:bCs/>
                <w:color w:val="auto"/>
                <w:sz w:val="24"/>
                <w:szCs w:val="24"/>
              </w:rPr>
            </w:pPr>
            <w:r>
              <w:rPr>
                <w:rFonts w:hint="eastAsia" w:eastAsia="宋体"/>
                <w:bCs/>
                <w:color w:val="auto"/>
                <w:kern w:val="0"/>
                <w:sz w:val="22"/>
                <w:szCs w:val="22"/>
                <w:lang w:bidi="ar"/>
              </w:rPr>
              <w:t>39</w:t>
            </w:r>
          </w:p>
        </w:tc>
        <w:tc>
          <w:tcPr>
            <w:tcW w:w="1220" w:type="dxa"/>
            <w:vAlign w:val="center"/>
          </w:tcPr>
          <w:p>
            <w:pPr>
              <w:widowControl/>
              <w:ind w:firstLine="440"/>
              <w:textAlignment w:val="center"/>
              <w:rPr>
                <w:bCs/>
                <w:color w:val="auto"/>
                <w:sz w:val="24"/>
                <w:szCs w:val="24"/>
              </w:rPr>
            </w:pPr>
            <w:r>
              <w:rPr>
                <w:rFonts w:hint="eastAsia" w:eastAsia="宋体"/>
                <w:bCs/>
                <w:color w:val="auto"/>
                <w:kern w:val="0"/>
                <w:sz w:val="22"/>
                <w:szCs w:val="22"/>
                <w:lang w:bidi="ar"/>
              </w:rPr>
              <w:t>45</w:t>
            </w:r>
          </w:p>
        </w:tc>
        <w:tc>
          <w:tcPr>
            <w:tcW w:w="1383" w:type="dxa"/>
            <w:vAlign w:val="center"/>
          </w:tcPr>
          <w:p>
            <w:pPr>
              <w:widowControl/>
              <w:ind w:firstLine="440"/>
              <w:textAlignment w:val="center"/>
              <w:rPr>
                <w:bCs/>
                <w:color w:val="auto"/>
                <w:sz w:val="24"/>
                <w:szCs w:val="24"/>
              </w:rPr>
            </w:pPr>
            <w:r>
              <w:rPr>
                <w:rFonts w:hint="eastAsia" w:eastAsia="宋体"/>
                <w:bCs/>
                <w:color w:val="auto"/>
                <w:kern w:val="0"/>
                <w:sz w:val="22"/>
                <w:szCs w:val="22"/>
                <w:lang w:bidi="ar"/>
              </w:rPr>
              <w:t>13.5</w:t>
            </w:r>
          </w:p>
        </w:tc>
      </w:tr>
    </w:tbl>
    <w:p>
      <w:pPr>
        <w:pStyle w:val="10"/>
        <w:spacing w:after="0"/>
        <w:ind w:left="0" w:leftChars="0" w:firstLine="640"/>
        <w:rPr>
          <w:szCs w:val="22"/>
        </w:rPr>
      </w:pPr>
    </w:p>
    <w:p>
      <w:pPr>
        <w:pStyle w:val="10"/>
        <w:spacing w:after="0"/>
        <w:ind w:left="0" w:leftChars="0" w:firstLine="640"/>
        <w:rPr>
          <w:szCs w:val="22"/>
        </w:rPr>
        <w:sectPr>
          <w:pgSz w:w="11906" w:h="16838"/>
          <w:pgMar w:top="1440" w:right="1800" w:bottom="1440" w:left="1800" w:header="851" w:footer="992" w:gutter="0"/>
          <w:pgNumType w:fmt="decimal"/>
          <w:cols w:space="425" w:num="1"/>
          <w:docGrid w:type="lines" w:linePitch="312" w:charSpace="0"/>
        </w:sectPr>
      </w:pPr>
    </w:p>
    <w:p>
      <w:pPr>
        <w:pStyle w:val="4"/>
        <w:jc w:val="center"/>
        <w:rPr>
          <w:color w:val="auto"/>
          <w:szCs w:val="22"/>
        </w:rPr>
      </w:pPr>
      <w:bookmarkStart w:id="128" w:name="_Toc28116"/>
      <w:r>
        <w:rPr>
          <w:rFonts w:hint="eastAsia"/>
          <w:color w:val="auto"/>
          <w:szCs w:val="22"/>
        </w:rPr>
        <w:t>附表</w:t>
      </w:r>
      <w:r>
        <w:rPr>
          <w:color w:val="auto"/>
          <w:szCs w:val="22"/>
        </w:rPr>
        <w:t>3</w:t>
      </w:r>
      <w:r>
        <w:rPr>
          <w:rFonts w:hint="eastAsia"/>
          <w:color w:val="auto"/>
          <w:szCs w:val="22"/>
        </w:rPr>
        <w:t xml:space="preserve">  玉溪市“十四五”绿色食品制造业重点项目库</w:t>
      </w:r>
      <w:bookmarkEnd w:id="128"/>
    </w:p>
    <w:tbl>
      <w:tblPr>
        <w:tblStyle w:val="21"/>
        <w:tblW w:w="14399" w:type="dxa"/>
        <w:tblInd w:w="0" w:type="dxa"/>
        <w:tblLayout w:type="fixed"/>
        <w:tblCellMar>
          <w:top w:w="0" w:type="dxa"/>
          <w:left w:w="108" w:type="dxa"/>
          <w:bottom w:w="0" w:type="dxa"/>
          <w:right w:w="108" w:type="dxa"/>
        </w:tblCellMar>
      </w:tblPr>
      <w:tblGrid>
        <w:gridCol w:w="466"/>
        <w:gridCol w:w="2019"/>
        <w:gridCol w:w="911"/>
        <w:gridCol w:w="4735"/>
        <w:gridCol w:w="1168"/>
        <w:gridCol w:w="932"/>
        <w:gridCol w:w="1136"/>
        <w:gridCol w:w="1232"/>
        <w:gridCol w:w="1254"/>
        <w:gridCol w:w="546"/>
      </w:tblGrid>
      <w:tr>
        <w:tblPrEx>
          <w:tblCellMar>
            <w:top w:w="0" w:type="dxa"/>
            <w:left w:w="108" w:type="dxa"/>
            <w:bottom w:w="0" w:type="dxa"/>
            <w:right w:w="108" w:type="dxa"/>
          </w:tblCellMar>
        </w:tblPrEx>
        <w:trPr>
          <w:trHeight w:val="90" w:hRule="atLeast"/>
          <w:tblHeader/>
        </w:trPr>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r>
              <w:rPr>
                <w:rFonts w:ascii="Times New Roman" w:hAnsi="Times New Roman" w:eastAsia="仿宋" w:cs="Times New Roman"/>
                <w:b/>
                <w:bCs/>
                <w:color w:val="auto"/>
                <w:sz w:val="21"/>
                <w:szCs w:val="21"/>
                <w:lang w:val="en-US" w:eastAsia="zh-CN"/>
              </w:rPr>
              <w:t>序号</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r>
              <w:rPr>
                <w:rFonts w:ascii="Times New Roman" w:hAnsi="Times New Roman" w:eastAsia="仿宋" w:cs="Times New Roman"/>
                <w:b/>
                <w:bCs/>
                <w:color w:val="auto"/>
                <w:sz w:val="21"/>
                <w:szCs w:val="21"/>
                <w:lang w:val="en-US" w:eastAsia="zh-CN"/>
              </w:rPr>
              <w:t>项目名称</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r>
              <w:rPr>
                <w:rFonts w:ascii="Times New Roman" w:hAnsi="Times New Roman" w:eastAsia="仿宋" w:cs="Times New Roman"/>
                <w:b/>
                <w:bCs/>
                <w:color w:val="auto"/>
                <w:sz w:val="21"/>
                <w:szCs w:val="21"/>
                <w:lang w:val="en-US" w:eastAsia="zh-CN"/>
              </w:rPr>
              <w:t>类别</w:t>
            </w:r>
          </w:p>
        </w:tc>
        <w:tc>
          <w:tcPr>
            <w:tcW w:w="473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r>
              <w:rPr>
                <w:rFonts w:ascii="Times New Roman" w:hAnsi="Times New Roman" w:eastAsia="仿宋" w:cs="Times New Roman"/>
                <w:b/>
                <w:bCs/>
                <w:color w:val="auto"/>
                <w:sz w:val="21"/>
                <w:szCs w:val="21"/>
                <w:lang w:val="en-US" w:eastAsia="zh-CN"/>
              </w:rPr>
              <w:t>建设内容及规模</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r>
              <w:rPr>
                <w:rFonts w:ascii="Times New Roman" w:hAnsi="Times New Roman" w:eastAsia="仿宋" w:cs="Times New Roman"/>
                <w:b/>
                <w:bCs/>
                <w:color w:val="auto"/>
                <w:sz w:val="21"/>
                <w:szCs w:val="21"/>
                <w:lang w:val="en-US" w:eastAsia="zh-CN"/>
              </w:rPr>
              <w:t>建设年限</w:t>
            </w:r>
          </w:p>
        </w:tc>
        <w:tc>
          <w:tcPr>
            <w:tcW w:w="9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r>
              <w:rPr>
                <w:rFonts w:ascii="Times New Roman" w:hAnsi="Times New Roman" w:eastAsia="仿宋" w:cs="Times New Roman"/>
                <w:b/>
                <w:bCs/>
                <w:color w:val="auto"/>
                <w:sz w:val="21"/>
                <w:szCs w:val="21"/>
                <w:lang w:val="en-US" w:eastAsia="zh-CN"/>
              </w:rPr>
              <w:t>总投资（万元）</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r>
              <w:rPr>
                <w:rFonts w:ascii="Times New Roman" w:hAnsi="Times New Roman" w:eastAsia="仿宋" w:cs="Times New Roman"/>
                <w:b/>
                <w:bCs/>
                <w:color w:val="auto"/>
                <w:sz w:val="21"/>
                <w:szCs w:val="21"/>
                <w:lang w:val="en-US" w:eastAsia="zh-CN"/>
              </w:rPr>
              <w:t>“十四五”计划完成投资</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r>
              <w:rPr>
                <w:rFonts w:ascii="Times New Roman" w:hAnsi="Times New Roman" w:eastAsia="仿宋" w:cs="Times New Roman"/>
                <w:b/>
                <w:bCs/>
                <w:color w:val="auto"/>
                <w:sz w:val="21"/>
                <w:szCs w:val="21"/>
                <w:lang w:val="en-US" w:eastAsia="zh-CN"/>
              </w:rPr>
              <w:t>责任单位</w:t>
            </w:r>
          </w:p>
        </w:tc>
        <w:tc>
          <w:tcPr>
            <w:tcW w:w="125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r>
              <w:rPr>
                <w:rFonts w:ascii="Times New Roman" w:hAnsi="Times New Roman" w:eastAsia="仿宋" w:cs="Times New Roman"/>
                <w:b/>
                <w:bCs/>
                <w:color w:val="auto"/>
                <w:sz w:val="21"/>
                <w:szCs w:val="21"/>
                <w:lang w:val="en-US" w:eastAsia="zh-CN"/>
              </w:rPr>
              <w:t>项目所在县（市、区）</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r>
              <w:rPr>
                <w:rFonts w:hint="eastAsia" w:ascii="Times New Roman" w:hAnsi="Times New Roman" w:eastAsia="仿宋" w:cs="Times New Roman"/>
                <w:b/>
                <w:bCs/>
                <w:color w:val="auto"/>
                <w:sz w:val="21"/>
                <w:szCs w:val="21"/>
                <w:lang w:val="en-US" w:eastAsia="zh-CN"/>
              </w:rPr>
              <w:t>备注</w:t>
            </w:r>
          </w:p>
        </w:tc>
      </w:tr>
      <w:tr>
        <w:trPr>
          <w:trHeight w:val="375"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r>
              <w:rPr>
                <w:rFonts w:hint="eastAsia" w:ascii="Times New Roman" w:hAnsi="Times New Roman" w:eastAsia="仿宋" w:cs="Times New Roman"/>
                <w:b/>
                <w:bCs/>
                <w:color w:val="auto"/>
                <w:sz w:val="21"/>
                <w:szCs w:val="21"/>
                <w:lang w:val="en-US" w:eastAsia="zh-CN"/>
              </w:rPr>
              <w:t>合计（</w:t>
            </w:r>
            <w:r>
              <w:rPr>
                <w:rFonts w:ascii="Times New Roman" w:hAnsi="Times New Roman" w:eastAsia="仿宋" w:cs="Times New Roman"/>
                <w:b/>
                <w:bCs/>
                <w:color w:val="auto"/>
                <w:sz w:val="21"/>
                <w:szCs w:val="21"/>
                <w:lang w:val="en-US" w:eastAsia="zh-CN"/>
              </w:rPr>
              <w:t>35项）</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p>
        </w:tc>
        <w:tc>
          <w:tcPr>
            <w:tcW w:w="473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left"/>
              <w:rPr>
                <w:rFonts w:ascii="Times New Roman" w:hAnsi="Times New Roman" w:eastAsia="仿宋" w:cs="Times New Roman"/>
                <w:b/>
                <w:bCs/>
                <w:color w:val="auto"/>
                <w:sz w:val="21"/>
                <w:szCs w:val="21"/>
                <w:lang w:val="en-US" w:eastAsia="zh-CN"/>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p>
        </w:tc>
        <w:tc>
          <w:tcPr>
            <w:tcW w:w="9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r>
              <w:rPr>
                <w:rFonts w:ascii="Times New Roman" w:hAnsi="Times New Roman" w:eastAsia="仿宋" w:cs="Times New Roman"/>
                <w:b/>
                <w:bCs/>
                <w:color w:val="auto"/>
                <w:sz w:val="21"/>
                <w:szCs w:val="21"/>
                <w:lang w:val="en-US" w:eastAsia="zh-CN"/>
              </w:rPr>
              <w:t>721414</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r>
              <w:rPr>
                <w:rFonts w:ascii="Times New Roman" w:hAnsi="Times New Roman" w:eastAsia="仿宋" w:cs="Times New Roman"/>
                <w:b/>
                <w:bCs/>
                <w:color w:val="auto"/>
                <w:sz w:val="21"/>
                <w:szCs w:val="21"/>
                <w:lang w:val="en-US" w:eastAsia="zh-CN"/>
              </w:rPr>
              <w:t>561414</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p>
        </w:tc>
        <w:tc>
          <w:tcPr>
            <w:tcW w:w="125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p>
        </w:tc>
      </w:tr>
      <w:tr>
        <w:tblPrEx>
          <w:tblCellMar>
            <w:top w:w="0" w:type="dxa"/>
            <w:left w:w="108" w:type="dxa"/>
            <w:bottom w:w="0" w:type="dxa"/>
            <w:right w:w="108" w:type="dxa"/>
          </w:tblCellMar>
        </w:tblPrEx>
        <w:trPr>
          <w:trHeight w:val="375"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r>
              <w:rPr>
                <w:rFonts w:hint="eastAsia" w:ascii="Times New Roman" w:hAnsi="Times New Roman" w:eastAsia="仿宋" w:cs="Times New Roman"/>
                <w:b/>
                <w:bCs/>
                <w:color w:val="auto"/>
                <w:sz w:val="21"/>
                <w:szCs w:val="21"/>
                <w:lang w:val="en-US" w:eastAsia="zh-CN"/>
              </w:rPr>
              <w:t>一</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r>
              <w:rPr>
                <w:rFonts w:hint="eastAsia" w:ascii="Times New Roman" w:hAnsi="Times New Roman" w:eastAsia="仿宋" w:cs="Times New Roman"/>
                <w:b/>
                <w:bCs/>
                <w:color w:val="auto"/>
                <w:sz w:val="21"/>
                <w:szCs w:val="21"/>
                <w:lang w:val="en-US" w:eastAsia="zh-CN"/>
              </w:rPr>
              <w:t>续建项目（</w:t>
            </w:r>
            <w:r>
              <w:rPr>
                <w:rFonts w:ascii="Times New Roman" w:hAnsi="Times New Roman" w:eastAsia="仿宋" w:cs="Times New Roman"/>
                <w:b/>
                <w:bCs/>
                <w:color w:val="auto"/>
                <w:sz w:val="21"/>
                <w:szCs w:val="21"/>
                <w:lang w:val="en-US" w:eastAsia="zh-CN"/>
              </w:rPr>
              <w:t>1项）</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p>
        </w:tc>
        <w:tc>
          <w:tcPr>
            <w:tcW w:w="473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left"/>
              <w:rPr>
                <w:rFonts w:ascii="Times New Roman" w:hAnsi="Times New Roman" w:eastAsia="仿宋" w:cs="Times New Roman"/>
                <w:b/>
                <w:bCs/>
                <w:color w:val="auto"/>
                <w:sz w:val="21"/>
                <w:szCs w:val="21"/>
                <w:lang w:val="en-US" w:eastAsia="zh-CN"/>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p>
        </w:tc>
        <w:tc>
          <w:tcPr>
            <w:tcW w:w="9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r>
              <w:rPr>
                <w:rFonts w:ascii="Times New Roman" w:hAnsi="Times New Roman" w:eastAsia="仿宋" w:cs="Times New Roman"/>
                <w:b/>
                <w:bCs/>
                <w:color w:val="auto"/>
                <w:sz w:val="21"/>
                <w:szCs w:val="21"/>
                <w:lang w:val="en-US" w:eastAsia="zh-CN"/>
              </w:rPr>
              <w:t>7000</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r>
              <w:rPr>
                <w:rFonts w:ascii="Times New Roman" w:hAnsi="Times New Roman" w:eastAsia="仿宋" w:cs="Times New Roman"/>
                <w:b/>
                <w:bCs/>
                <w:color w:val="auto"/>
                <w:sz w:val="21"/>
                <w:szCs w:val="21"/>
                <w:lang w:val="en-US" w:eastAsia="zh-CN"/>
              </w:rPr>
              <w:t>7000</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p>
        </w:tc>
        <w:tc>
          <w:tcPr>
            <w:tcW w:w="125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p>
        </w:tc>
      </w:tr>
      <w:tr>
        <w:trPr>
          <w:trHeight w:val="945"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元江县白酒生产包装销售项目和普洱茶酒生产项目</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酒及饮料制造</w:t>
            </w:r>
          </w:p>
        </w:tc>
        <w:tc>
          <w:tcPr>
            <w:tcW w:w="473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left"/>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分两期实施，一期包装销售项目建设内容包括发酵车间、蒸馏车间、包装车间、醇化车间、原料库、成品库、辅料库、消防系统、化验室等。</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2019-2022</w:t>
            </w:r>
          </w:p>
        </w:tc>
        <w:tc>
          <w:tcPr>
            <w:tcW w:w="9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7000</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7000</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元江县人民政府</w:t>
            </w:r>
          </w:p>
        </w:tc>
        <w:tc>
          <w:tcPr>
            <w:tcW w:w="125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元江县</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hint="eastAsia" w:ascii="Times New Roman" w:hAnsi="Times New Roman" w:eastAsia="仿宋" w:cs="Times New Roman"/>
                <w:color w:val="auto"/>
                <w:sz w:val="21"/>
                <w:szCs w:val="21"/>
                <w:lang w:val="en-US" w:eastAsia="zh-CN"/>
              </w:rPr>
            </w:pPr>
          </w:p>
        </w:tc>
      </w:tr>
      <w:tr>
        <w:tblPrEx>
          <w:tblCellMar>
            <w:top w:w="0" w:type="dxa"/>
            <w:left w:w="108" w:type="dxa"/>
            <w:bottom w:w="0" w:type="dxa"/>
            <w:right w:w="108" w:type="dxa"/>
          </w:tblCellMar>
        </w:tblPrEx>
        <w:trPr>
          <w:trHeight w:val="587"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r>
              <w:rPr>
                <w:rFonts w:hint="eastAsia" w:ascii="Times New Roman" w:hAnsi="Times New Roman" w:eastAsia="仿宋" w:cs="Times New Roman"/>
                <w:b/>
                <w:bCs/>
                <w:color w:val="auto"/>
                <w:sz w:val="21"/>
                <w:szCs w:val="21"/>
                <w:lang w:val="en-US" w:eastAsia="zh-CN"/>
              </w:rPr>
              <w:t>二</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r>
              <w:rPr>
                <w:rFonts w:hint="eastAsia" w:ascii="Times New Roman" w:hAnsi="Times New Roman" w:eastAsia="仿宋" w:cs="Times New Roman"/>
                <w:b/>
                <w:bCs/>
                <w:color w:val="auto"/>
                <w:sz w:val="21"/>
                <w:szCs w:val="21"/>
                <w:lang w:val="en-US" w:eastAsia="zh-CN"/>
              </w:rPr>
              <w:t>新开工项目</w:t>
            </w:r>
            <w:r>
              <w:rPr>
                <w:rFonts w:hint="eastAsia" w:ascii="Times New Roman" w:hAnsi="Times New Roman" w:eastAsia="仿宋" w:cs="Times New Roman"/>
                <w:b/>
                <w:bCs/>
                <w:color w:val="auto"/>
                <w:sz w:val="21"/>
                <w:szCs w:val="21"/>
                <w:lang w:val="en-US" w:eastAsia="zh-CN"/>
              </w:rPr>
              <w:br w:type="textWrapping"/>
            </w:r>
            <w:r>
              <w:rPr>
                <w:rFonts w:hint="eastAsia" w:ascii="Times New Roman" w:hAnsi="Times New Roman" w:eastAsia="仿宋" w:cs="Times New Roman"/>
                <w:b/>
                <w:bCs/>
                <w:color w:val="auto"/>
                <w:sz w:val="21"/>
                <w:szCs w:val="21"/>
                <w:lang w:val="en-US" w:eastAsia="zh-CN"/>
              </w:rPr>
              <w:t>（</w:t>
            </w:r>
            <w:r>
              <w:rPr>
                <w:rFonts w:ascii="Times New Roman" w:hAnsi="Times New Roman" w:eastAsia="仿宋" w:cs="Times New Roman"/>
                <w:b/>
                <w:bCs/>
                <w:color w:val="auto"/>
                <w:sz w:val="21"/>
                <w:szCs w:val="21"/>
                <w:lang w:val="en-US" w:eastAsia="zh-CN"/>
              </w:rPr>
              <w:t>14项）</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p>
        </w:tc>
        <w:tc>
          <w:tcPr>
            <w:tcW w:w="473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left"/>
              <w:rPr>
                <w:rFonts w:ascii="Times New Roman" w:hAnsi="Times New Roman" w:eastAsia="仿宋" w:cs="Times New Roman"/>
                <w:b/>
                <w:bCs/>
                <w:color w:val="auto"/>
                <w:sz w:val="21"/>
                <w:szCs w:val="21"/>
                <w:lang w:val="en-US" w:eastAsia="zh-CN"/>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p>
        </w:tc>
        <w:tc>
          <w:tcPr>
            <w:tcW w:w="9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r>
              <w:rPr>
                <w:rFonts w:ascii="Times New Roman" w:hAnsi="Times New Roman" w:eastAsia="仿宋" w:cs="Times New Roman"/>
                <w:b/>
                <w:bCs/>
                <w:color w:val="auto"/>
                <w:sz w:val="21"/>
                <w:szCs w:val="21"/>
                <w:lang w:val="en-US" w:eastAsia="zh-CN"/>
              </w:rPr>
              <w:t>89403</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r>
              <w:rPr>
                <w:rFonts w:ascii="Times New Roman" w:hAnsi="Times New Roman" w:eastAsia="仿宋" w:cs="Times New Roman"/>
                <w:b/>
                <w:bCs/>
                <w:color w:val="auto"/>
                <w:sz w:val="21"/>
                <w:szCs w:val="21"/>
                <w:lang w:val="en-US" w:eastAsia="zh-CN"/>
              </w:rPr>
              <w:t>89403</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p>
        </w:tc>
        <w:tc>
          <w:tcPr>
            <w:tcW w:w="125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p>
        </w:tc>
      </w:tr>
      <w:tr>
        <w:trPr>
          <w:trHeight w:val="90"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云南滇雪粮油有限公司智能化控制年加工</w:t>
            </w:r>
            <w:r>
              <w:rPr>
                <w:rFonts w:ascii="Times New Roman" w:hAnsi="Times New Roman" w:eastAsia="仿宋" w:cs="Times New Roman"/>
                <w:color w:val="auto"/>
                <w:sz w:val="21"/>
                <w:szCs w:val="21"/>
                <w:lang w:val="en-US" w:eastAsia="zh-CN"/>
              </w:rPr>
              <w:t>15万吨食用油生产项目</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粮油制品</w:t>
            </w:r>
          </w:p>
        </w:tc>
        <w:tc>
          <w:tcPr>
            <w:tcW w:w="473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left"/>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规划建设智能化控制</w:t>
            </w:r>
            <w:r>
              <w:rPr>
                <w:rFonts w:ascii="Times New Roman" w:hAnsi="Times New Roman" w:eastAsia="仿宋" w:cs="Times New Roman"/>
                <w:color w:val="auto"/>
                <w:sz w:val="21"/>
                <w:szCs w:val="21"/>
                <w:lang w:val="en-US" w:eastAsia="zh-CN"/>
              </w:rPr>
              <w:t>450吨/日精炼车间、900吨/日中小包装生产线车间、锅炉房、仓库、污水处理、机械车间、研发中心、产品体验展示中心、办公区、食堂、4万吨储油罐区及其他基础配套设施。</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2021-2025</w:t>
            </w:r>
          </w:p>
        </w:tc>
        <w:tc>
          <w:tcPr>
            <w:tcW w:w="9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27253</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27253</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红塔区人民政府</w:t>
            </w:r>
          </w:p>
        </w:tc>
        <w:tc>
          <w:tcPr>
            <w:tcW w:w="125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红塔区</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hint="eastAsia" w:ascii="Times New Roman" w:hAnsi="Times New Roman" w:eastAsia="仿宋" w:cs="Times New Roman"/>
                <w:color w:val="auto"/>
                <w:sz w:val="21"/>
                <w:szCs w:val="21"/>
                <w:lang w:val="en-US" w:eastAsia="zh-CN"/>
              </w:rPr>
            </w:pPr>
          </w:p>
        </w:tc>
      </w:tr>
      <w:tr>
        <w:tblPrEx>
          <w:tblCellMar>
            <w:top w:w="0" w:type="dxa"/>
            <w:left w:w="108" w:type="dxa"/>
            <w:bottom w:w="0" w:type="dxa"/>
            <w:right w:w="108" w:type="dxa"/>
          </w:tblCellMar>
        </w:tblPrEx>
        <w:trPr>
          <w:trHeight w:val="1244"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云南猫哆哩集团食品有限责任公司云南特色农产品深加工产业园建设</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烘焙食品与糖果制造</w:t>
            </w:r>
          </w:p>
        </w:tc>
        <w:tc>
          <w:tcPr>
            <w:tcW w:w="473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left"/>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拟建设一条年产</w:t>
            </w:r>
            <w:r>
              <w:rPr>
                <w:rFonts w:ascii="Times New Roman" w:hAnsi="Times New Roman" w:eastAsia="仿宋" w:cs="Times New Roman"/>
                <w:color w:val="auto"/>
                <w:sz w:val="21"/>
                <w:szCs w:val="21"/>
                <w:lang w:val="en-US" w:eastAsia="zh-CN"/>
              </w:rPr>
              <w:t>12000吨夜草牌特色食品生产线，依托云南特有的林果资源，实现科研价值的最大化并促进云南省特色休闲食品产业的发展。</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2021-2023</w:t>
            </w:r>
          </w:p>
        </w:tc>
        <w:tc>
          <w:tcPr>
            <w:tcW w:w="9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12000</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12000</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高新区管理委员会</w:t>
            </w:r>
          </w:p>
        </w:tc>
        <w:tc>
          <w:tcPr>
            <w:tcW w:w="125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高新区</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hint="eastAsia" w:ascii="Times New Roman" w:hAnsi="Times New Roman" w:eastAsia="仿宋" w:cs="Times New Roman"/>
                <w:color w:val="auto"/>
                <w:sz w:val="21"/>
                <w:szCs w:val="21"/>
                <w:lang w:val="en-US" w:eastAsia="zh-CN"/>
              </w:rPr>
            </w:pPr>
          </w:p>
        </w:tc>
      </w:tr>
      <w:tr>
        <w:trPr>
          <w:trHeight w:val="985"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3</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云南阳光食品有限公司小米辣全自动流水生产线的建设项目</w:t>
            </w:r>
          </w:p>
        </w:tc>
        <w:tc>
          <w:tcPr>
            <w:tcW w:w="911" w:type="dxa"/>
            <w:vMerge w:val="restart"/>
            <w:tcBorders>
              <w:top w:val="single" w:color="000000" w:sz="4" w:space="0"/>
              <w:left w:val="single" w:color="000000" w:sz="4" w:space="0"/>
              <w:bottom w:val="single" w:color="auto" w:sz="4" w:space="0"/>
              <w:right w:val="single" w:color="000000" w:sz="4" w:space="0"/>
            </w:tcBorders>
            <w:shd w:val="clear" w:color="auto" w:fill="auto"/>
            <w:vAlign w:val="center"/>
          </w:tcPr>
          <w:p>
            <w:pPr>
              <w:pStyle w:val="45"/>
              <w:spacing w:line="280" w:lineRule="exact"/>
              <w:ind w:left="0" w:leftChars="0" w:firstLine="0" w:firstLineChars="0"/>
              <w:jc w:val="both"/>
              <w:rPr>
                <w:rFonts w:hint="eastAsia"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酱菜调味品与食品添加剂</w:t>
            </w:r>
          </w:p>
          <w:p>
            <w:pPr>
              <w:pStyle w:val="45"/>
              <w:spacing w:line="280" w:lineRule="exact"/>
              <w:ind w:left="0" w:leftChars="0" w:firstLine="0" w:firstLineChars="0"/>
              <w:jc w:val="both"/>
              <w:rPr>
                <w:rFonts w:hint="eastAsia"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酱菜调味品与食品添加剂</w:t>
            </w:r>
          </w:p>
        </w:tc>
        <w:tc>
          <w:tcPr>
            <w:tcW w:w="473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left"/>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建设一条全自动小米辣生产线</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2021</w:t>
            </w:r>
          </w:p>
        </w:tc>
        <w:tc>
          <w:tcPr>
            <w:tcW w:w="9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1000</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1000</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江川区人民政府</w:t>
            </w:r>
          </w:p>
        </w:tc>
        <w:tc>
          <w:tcPr>
            <w:tcW w:w="125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江川区</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hint="eastAsia" w:ascii="Times New Roman" w:hAnsi="Times New Roman" w:eastAsia="仿宋" w:cs="Times New Roman"/>
                <w:color w:val="auto"/>
                <w:sz w:val="21"/>
                <w:szCs w:val="21"/>
                <w:lang w:val="en-US" w:eastAsia="zh-CN"/>
              </w:rPr>
            </w:pPr>
          </w:p>
        </w:tc>
      </w:tr>
      <w:tr>
        <w:tblPrEx>
          <w:tblCellMar>
            <w:top w:w="0" w:type="dxa"/>
            <w:left w:w="108" w:type="dxa"/>
            <w:bottom w:w="0" w:type="dxa"/>
            <w:right w:w="108" w:type="dxa"/>
          </w:tblCellMar>
        </w:tblPrEx>
        <w:trPr>
          <w:trHeight w:val="1411"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4</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云南卓一食品有限公司云南高原野生菌风味物质的提取及其在绿色食品中的研究与应用项目</w:t>
            </w:r>
          </w:p>
        </w:tc>
        <w:tc>
          <w:tcPr>
            <w:tcW w:w="911"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p>
        </w:tc>
        <w:tc>
          <w:tcPr>
            <w:tcW w:w="473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left"/>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经现代工艺和技术研发，开发具有自主知识产权的云南高原特色野生菌味调料及菌鸡复合底料产品</w:t>
            </w:r>
            <w:r>
              <w:rPr>
                <w:rFonts w:ascii="Times New Roman" w:hAnsi="Times New Roman" w:eastAsia="仿宋" w:cs="Times New Roman"/>
                <w:color w:val="auto"/>
                <w:sz w:val="21"/>
                <w:szCs w:val="21"/>
                <w:lang w:val="en-US" w:eastAsia="zh-CN"/>
              </w:rPr>
              <w:t>6个。</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2021-2022</w:t>
            </w:r>
          </w:p>
        </w:tc>
        <w:tc>
          <w:tcPr>
            <w:tcW w:w="9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1600</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1600</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江川区人民政府</w:t>
            </w:r>
          </w:p>
        </w:tc>
        <w:tc>
          <w:tcPr>
            <w:tcW w:w="125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江川区</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hint="eastAsia" w:ascii="Times New Roman" w:hAnsi="Times New Roman" w:eastAsia="仿宋" w:cs="Times New Roman"/>
                <w:color w:val="auto"/>
                <w:sz w:val="21"/>
                <w:szCs w:val="21"/>
                <w:lang w:val="en-US" w:eastAsia="zh-CN"/>
              </w:rPr>
            </w:pPr>
          </w:p>
        </w:tc>
      </w:tr>
      <w:tr>
        <w:trPr>
          <w:trHeight w:val="1399"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5</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云南世吉农业发展有限公司滇中特色农副产品冷链储运中心6万吨/年保鲜蔬菜冷链物流项目</w:t>
            </w:r>
          </w:p>
        </w:tc>
        <w:tc>
          <w:tcPr>
            <w:tcW w:w="911"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相关产业</w:t>
            </w:r>
          </w:p>
        </w:tc>
        <w:tc>
          <w:tcPr>
            <w:tcW w:w="473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left"/>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项目占地</w:t>
            </w:r>
            <w:r>
              <w:rPr>
                <w:rFonts w:ascii="Times New Roman" w:hAnsi="Times New Roman" w:eastAsia="仿宋" w:cs="Times New Roman"/>
                <w:color w:val="auto"/>
                <w:sz w:val="21"/>
                <w:szCs w:val="21"/>
                <w:lang w:val="en-US" w:eastAsia="zh-CN"/>
              </w:rPr>
              <w:t>42亩，建筑面积26000平方米，主要建设33座冷库，1栋综合办公楼，1个加工车间，2座仓库，1个蔬菜交易区，1个脱水车间及其他配套设施。</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2021-2023</w:t>
            </w:r>
          </w:p>
        </w:tc>
        <w:tc>
          <w:tcPr>
            <w:tcW w:w="9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10000</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10000</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江川区人民政府</w:t>
            </w:r>
          </w:p>
        </w:tc>
        <w:tc>
          <w:tcPr>
            <w:tcW w:w="125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江川区</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hint="eastAsia" w:ascii="Times New Roman" w:hAnsi="Times New Roman" w:eastAsia="仿宋" w:cs="Times New Roman"/>
                <w:color w:val="auto"/>
                <w:sz w:val="21"/>
                <w:szCs w:val="21"/>
                <w:lang w:val="en-US" w:eastAsia="zh-CN"/>
              </w:rPr>
            </w:pPr>
          </w:p>
        </w:tc>
      </w:tr>
      <w:tr>
        <w:tblPrEx>
          <w:tblCellMar>
            <w:top w:w="0" w:type="dxa"/>
            <w:left w:w="108" w:type="dxa"/>
            <w:bottom w:w="0" w:type="dxa"/>
            <w:right w:w="108" w:type="dxa"/>
          </w:tblCellMar>
        </w:tblPrEx>
        <w:trPr>
          <w:trHeight w:val="1426"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6</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云南地衡丰农业科技开发有限公司绿汁江冬早蔬菜产业园建设项目</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果蔬加工</w:t>
            </w:r>
          </w:p>
        </w:tc>
        <w:tc>
          <w:tcPr>
            <w:tcW w:w="473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left"/>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产业园总面积</w:t>
            </w:r>
            <w:r>
              <w:rPr>
                <w:rFonts w:ascii="Times New Roman" w:hAnsi="Times New Roman" w:eastAsia="仿宋" w:cs="Times New Roman"/>
                <w:color w:val="auto"/>
                <w:sz w:val="21"/>
                <w:szCs w:val="21"/>
                <w:lang w:val="en-US" w:eastAsia="zh-CN"/>
              </w:rPr>
              <w:t>12000亩（其中自有基地2000亩，带动基地10000亩），主要分种植示范区、带动种植区、包装加工区、仓储物流区和管理生活区。主要种植冬季番茄，预计2021年产量8万吨，产值1.5亿元。</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2021-2023</w:t>
            </w:r>
          </w:p>
        </w:tc>
        <w:tc>
          <w:tcPr>
            <w:tcW w:w="9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4000</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4000</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新平县人民政府</w:t>
            </w:r>
          </w:p>
        </w:tc>
        <w:tc>
          <w:tcPr>
            <w:tcW w:w="125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新平县</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hint="eastAsia" w:ascii="Times New Roman" w:hAnsi="Times New Roman" w:eastAsia="仿宋" w:cs="Times New Roman"/>
                <w:color w:val="auto"/>
                <w:sz w:val="21"/>
                <w:szCs w:val="21"/>
                <w:lang w:val="en-US" w:eastAsia="zh-CN"/>
              </w:rPr>
            </w:pPr>
          </w:p>
        </w:tc>
      </w:tr>
      <w:tr>
        <w:trPr>
          <w:trHeight w:val="1410"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7</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云南瑞得森进出口贸易有限公司通海县年产</w:t>
            </w:r>
            <w:r>
              <w:rPr>
                <w:rFonts w:ascii="Times New Roman" w:hAnsi="Times New Roman" w:eastAsia="仿宋" w:cs="Times New Roman"/>
                <w:color w:val="auto"/>
                <w:sz w:val="21"/>
                <w:szCs w:val="21"/>
                <w:lang w:val="en-US" w:eastAsia="zh-CN"/>
              </w:rPr>
              <w:t>3万吨出口果蔬空调加工车间建设项目</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果蔬加工</w:t>
            </w:r>
          </w:p>
        </w:tc>
        <w:tc>
          <w:tcPr>
            <w:tcW w:w="473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left"/>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以农产品的精加工为主，购入智能化加工设备，生产量</w:t>
            </w:r>
            <w:r>
              <w:rPr>
                <w:rFonts w:ascii="Times New Roman" w:hAnsi="Times New Roman" w:eastAsia="仿宋" w:cs="Times New Roman"/>
                <w:color w:val="auto"/>
                <w:sz w:val="21"/>
                <w:szCs w:val="21"/>
                <w:lang w:val="en-US" w:eastAsia="zh-CN"/>
              </w:rPr>
              <w:t>2万吨，以出口东南亚为主。</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2021</w:t>
            </w:r>
          </w:p>
        </w:tc>
        <w:tc>
          <w:tcPr>
            <w:tcW w:w="9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1000</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1000</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通海县人民政府</w:t>
            </w:r>
          </w:p>
        </w:tc>
        <w:tc>
          <w:tcPr>
            <w:tcW w:w="125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通海县</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hint="eastAsia" w:ascii="Times New Roman" w:hAnsi="Times New Roman" w:eastAsia="仿宋" w:cs="Times New Roman"/>
                <w:color w:val="auto"/>
                <w:sz w:val="21"/>
                <w:szCs w:val="21"/>
                <w:lang w:val="en-US" w:eastAsia="zh-CN"/>
              </w:rPr>
            </w:pPr>
          </w:p>
        </w:tc>
      </w:tr>
      <w:tr>
        <w:tblPrEx>
          <w:tblCellMar>
            <w:top w:w="0" w:type="dxa"/>
            <w:left w:w="108" w:type="dxa"/>
            <w:bottom w:w="0" w:type="dxa"/>
            <w:right w:w="108" w:type="dxa"/>
          </w:tblCellMar>
        </w:tblPrEx>
        <w:trPr>
          <w:trHeight w:val="1421"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8</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云南通海润思雅绿色食品有限公司</w:t>
            </w:r>
            <w:r>
              <w:rPr>
                <w:rFonts w:ascii="Times New Roman" w:hAnsi="Times New Roman" w:eastAsia="仿宋" w:cs="Times New Roman"/>
                <w:color w:val="auto"/>
                <w:sz w:val="21"/>
                <w:szCs w:val="21"/>
                <w:lang w:val="en-US" w:eastAsia="zh-CN"/>
              </w:rPr>
              <w:t>3000吨剁椒生产线建设项目</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酱菜调味品与食品添加剂</w:t>
            </w:r>
          </w:p>
        </w:tc>
        <w:tc>
          <w:tcPr>
            <w:tcW w:w="473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left"/>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结合云贵川地区，生产系列剁椒产品。</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2021</w:t>
            </w:r>
          </w:p>
        </w:tc>
        <w:tc>
          <w:tcPr>
            <w:tcW w:w="9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1000</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1000</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通海县人民政府</w:t>
            </w:r>
          </w:p>
        </w:tc>
        <w:tc>
          <w:tcPr>
            <w:tcW w:w="125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通海县</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hint="eastAsia" w:ascii="Times New Roman" w:hAnsi="Times New Roman" w:eastAsia="仿宋" w:cs="Times New Roman"/>
                <w:color w:val="auto"/>
                <w:sz w:val="21"/>
                <w:szCs w:val="21"/>
                <w:lang w:val="en-US" w:eastAsia="zh-CN"/>
              </w:rPr>
            </w:pPr>
          </w:p>
        </w:tc>
      </w:tr>
      <w:tr>
        <w:trPr>
          <w:trHeight w:val="1181"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9</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通海高原农产品有限公司净菜精深加工自动化包装生产线建设项目</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蔬果加工</w:t>
            </w:r>
          </w:p>
        </w:tc>
        <w:tc>
          <w:tcPr>
            <w:tcW w:w="473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left"/>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建成后可缓解疫情期间公司供货城市的百姓生活所需农产品供给问题，长远来看可带动玉溪市蔬菜产业从大路菜向精深加工和精细包装发展，提档升级。</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2021-2023</w:t>
            </w:r>
          </w:p>
        </w:tc>
        <w:tc>
          <w:tcPr>
            <w:tcW w:w="9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3600</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3600</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通海县人民政府</w:t>
            </w:r>
          </w:p>
        </w:tc>
        <w:tc>
          <w:tcPr>
            <w:tcW w:w="125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通海县</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hint="eastAsia" w:ascii="Times New Roman" w:hAnsi="Times New Roman" w:eastAsia="仿宋" w:cs="Times New Roman"/>
                <w:color w:val="auto"/>
                <w:sz w:val="21"/>
                <w:szCs w:val="21"/>
                <w:lang w:val="en-US" w:eastAsia="zh-CN"/>
              </w:rPr>
            </w:pPr>
          </w:p>
        </w:tc>
      </w:tr>
      <w:tr>
        <w:tblPrEx>
          <w:tblCellMar>
            <w:top w:w="0" w:type="dxa"/>
            <w:left w:w="108" w:type="dxa"/>
            <w:bottom w:w="0" w:type="dxa"/>
            <w:right w:w="108" w:type="dxa"/>
          </w:tblCellMar>
        </w:tblPrEx>
        <w:trPr>
          <w:trHeight w:val="920"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10</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云南滇泉啤酒有限公司新建年产</w:t>
            </w:r>
            <w:r>
              <w:rPr>
                <w:rFonts w:ascii="Times New Roman" w:hAnsi="Times New Roman" w:eastAsia="仿宋" w:cs="Times New Roman"/>
                <w:color w:val="auto"/>
                <w:sz w:val="21"/>
                <w:szCs w:val="21"/>
                <w:lang w:val="en-US" w:eastAsia="zh-CN"/>
              </w:rPr>
              <w:t>10万吨啤酒项目</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酒及饮料制造</w:t>
            </w:r>
          </w:p>
        </w:tc>
        <w:tc>
          <w:tcPr>
            <w:tcW w:w="473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left"/>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在峨山大化产业园金水片区内建设一家生产优质啤酒和云南特产滇花精酿啤酒的啤酒厂，生产设备均属于国内先进水平，产能规模为</w:t>
            </w:r>
            <w:r>
              <w:rPr>
                <w:rFonts w:ascii="Times New Roman" w:hAnsi="Times New Roman" w:eastAsia="仿宋" w:cs="Times New Roman"/>
                <w:color w:val="auto"/>
                <w:sz w:val="21"/>
                <w:szCs w:val="21"/>
                <w:lang w:val="en-US" w:eastAsia="zh-CN"/>
              </w:rPr>
              <w:t>10万吨/年。</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2021-2022</w:t>
            </w:r>
          </w:p>
        </w:tc>
        <w:tc>
          <w:tcPr>
            <w:tcW w:w="9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13000</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13000</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峨山县人民政府</w:t>
            </w:r>
          </w:p>
        </w:tc>
        <w:tc>
          <w:tcPr>
            <w:tcW w:w="125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峨山县</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hint="eastAsia" w:ascii="Times New Roman" w:hAnsi="Times New Roman" w:eastAsia="仿宋" w:cs="Times New Roman"/>
                <w:color w:val="auto"/>
                <w:sz w:val="21"/>
                <w:szCs w:val="21"/>
                <w:lang w:val="en-US" w:eastAsia="zh-CN"/>
              </w:rPr>
            </w:pPr>
          </w:p>
        </w:tc>
      </w:tr>
      <w:tr>
        <w:trPr>
          <w:trHeight w:val="1178"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11</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峨山县大龙潭乡高原特色农产品（玫瑰花）加工基地基础建设项目</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烘焙食品与糖果制造</w:t>
            </w:r>
          </w:p>
        </w:tc>
        <w:tc>
          <w:tcPr>
            <w:tcW w:w="473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left"/>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玫瑰花配套产品加工车间，加工机械设备购置。</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2021-2022</w:t>
            </w:r>
          </w:p>
        </w:tc>
        <w:tc>
          <w:tcPr>
            <w:tcW w:w="9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1000</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1000</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峨山县人民政府</w:t>
            </w:r>
          </w:p>
        </w:tc>
        <w:tc>
          <w:tcPr>
            <w:tcW w:w="125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峨山县</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hint="eastAsia" w:ascii="Times New Roman" w:hAnsi="Times New Roman" w:eastAsia="仿宋" w:cs="Times New Roman"/>
                <w:color w:val="auto"/>
                <w:sz w:val="21"/>
                <w:szCs w:val="21"/>
                <w:lang w:val="en-US" w:eastAsia="zh-CN"/>
              </w:rPr>
            </w:pPr>
          </w:p>
        </w:tc>
      </w:tr>
      <w:tr>
        <w:tblPrEx>
          <w:tblCellMar>
            <w:top w:w="0" w:type="dxa"/>
            <w:left w:w="108" w:type="dxa"/>
            <w:bottom w:w="0" w:type="dxa"/>
            <w:right w:w="108" w:type="dxa"/>
          </w:tblCellMar>
        </w:tblPrEx>
        <w:trPr>
          <w:trHeight w:val="395"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12</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云南易门山里香食品有限责任公司</w:t>
            </w:r>
            <w:r>
              <w:rPr>
                <w:rFonts w:ascii="Times New Roman" w:hAnsi="Times New Roman" w:eastAsia="仿宋" w:cs="Times New Roman"/>
                <w:color w:val="auto"/>
                <w:sz w:val="21"/>
                <w:szCs w:val="21"/>
                <w:lang w:val="en-US" w:eastAsia="zh-CN"/>
              </w:rPr>
              <w:t>12000件食用菌（金耳露）深加工项目</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营养及保健食品制造</w:t>
            </w:r>
          </w:p>
        </w:tc>
        <w:tc>
          <w:tcPr>
            <w:tcW w:w="473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left"/>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规划用地</w:t>
            </w:r>
            <w:r>
              <w:rPr>
                <w:rFonts w:ascii="Times New Roman" w:hAnsi="Times New Roman" w:eastAsia="仿宋" w:cs="Times New Roman"/>
                <w:color w:val="auto"/>
                <w:sz w:val="21"/>
                <w:szCs w:val="21"/>
                <w:lang w:val="en-US" w:eastAsia="zh-CN"/>
              </w:rPr>
              <w:t>3亩，建设标准化生产车间2栋，新建电商展示中心楼一栋，新增食用菌（金耳露）产品深加工生产线一条，利用先进的生产加工技术，购置加工设备，实现产量12000件/年。</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2021-2022</w:t>
            </w:r>
          </w:p>
        </w:tc>
        <w:tc>
          <w:tcPr>
            <w:tcW w:w="9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1200</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1200</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易门县人民政府</w:t>
            </w:r>
          </w:p>
        </w:tc>
        <w:tc>
          <w:tcPr>
            <w:tcW w:w="125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易门县</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hint="eastAsia" w:ascii="Times New Roman" w:hAnsi="Times New Roman" w:eastAsia="仿宋" w:cs="Times New Roman"/>
                <w:color w:val="auto"/>
                <w:sz w:val="21"/>
                <w:szCs w:val="21"/>
                <w:lang w:val="en-US" w:eastAsia="zh-CN"/>
              </w:rPr>
            </w:pPr>
          </w:p>
        </w:tc>
      </w:tr>
      <w:tr>
        <w:trPr>
          <w:trHeight w:val="1000"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13</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华宁县年产</w:t>
            </w:r>
            <w:r>
              <w:rPr>
                <w:rFonts w:ascii="Times New Roman" w:hAnsi="Times New Roman" w:eastAsia="仿宋" w:cs="Times New Roman"/>
                <w:color w:val="auto"/>
                <w:sz w:val="21"/>
                <w:szCs w:val="21"/>
                <w:lang w:val="en-US" w:eastAsia="zh-CN"/>
              </w:rPr>
              <w:t>2万吨酱菜产品加工项目</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酱菜调味品与食品添加剂</w:t>
            </w:r>
          </w:p>
        </w:tc>
        <w:tc>
          <w:tcPr>
            <w:tcW w:w="473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left"/>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总用地面积</w:t>
            </w:r>
            <w:r>
              <w:rPr>
                <w:rFonts w:ascii="Times New Roman" w:hAnsi="Times New Roman" w:eastAsia="仿宋" w:cs="Times New Roman"/>
                <w:color w:val="auto"/>
                <w:sz w:val="21"/>
                <w:szCs w:val="21"/>
                <w:lang w:val="en-US" w:eastAsia="zh-CN"/>
              </w:rPr>
              <w:t>13334平方米，总建筑面积26668平方米，2万吨酱菜产品加工。</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2021-2022</w:t>
            </w:r>
          </w:p>
        </w:tc>
        <w:tc>
          <w:tcPr>
            <w:tcW w:w="9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6750</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6750</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华宁县人民政府</w:t>
            </w:r>
          </w:p>
        </w:tc>
        <w:tc>
          <w:tcPr>
            <w:tcW w:w="125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华宁县</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hint="eastAsia" w:ascii="Times New Roman" w:hAnsi="Times New Roman" w:eastAsia="仿宋" w:cs="Times New Roman"/>
                <w:color w:val="auto"/>
                <w:sz w:val="21"/>
                <w:szCs w:val="21"/>
                <w:lang w:val="en-US" w:eastAsia="zh-CN"/>
              </w:rPr>
            </w:pPr>
          </w:p>
        </w:tc>
      </w:tr>
      <w:tr>
        <w:tblPrEx>
          <w:tblCellMar>
            <w:top w:w="0" w:type="dxa"/>
            <w:left w:w="108" w:type="dxa"/>
            <w:bottom w:w="0" w:type="dxa"/>
            <w:right w:w="108" w:type="dxa"/>
          </w:tblCellMar>
        </w:tblPrEx>
        <w:trPr>
          <w:trHeight w:val="500"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14</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玉溪华宁充分泉饮料有限公司年产用水量</w:t>
            </w:r>
            <w:r>
              <w:rPr>
                <w:rFonts w:ascii="Times New Roman" w:hAnsi="Times New Roman" w:eastAsia="仿宋" w:cs="Times New Roman"/>
                <w:color w:val="auto"/>
                <w:sz w:val="21"/>
                <w:szCs w:val="21"/>
                <w:lang w:val="en-US" w:eastAsia="zh-CN"/>
              </w:rPr>
              <w:t>30万吨瓶（桶）装饮用水生产项目</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相关产业</w:t>
            </w:r>
          </w:p>
        </w:tc>
        <w:tc>
          <w:tcPr>
            <w:tcW w:w="473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left"/>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项目建设分两期完成，一期工程投资</w:t>
            </w:r>
            <w:r>
              <w:rPr>
                <w:rFonts w:ascii="Times New Roman" w:hAnsi="Times New Roman" w:eastAsia="仿宋" w:cs="Times New Roman"/>
                <w:color w:val="auto"/>
                <w:sz w:val="21"/>
                <w:szCs w:val="21"/>
                <w:lang w:val="en-US" w:eastAsia="zh-CN"/>
              </w:rPr>
              <w:t>4000万元。建设500毫升装18000瓶/小时生产线一条，18.9升装2000桶/小时桶装水生产线一条</w:t>
            </w:r>
            <w:r>
              <w:rPr>
                <w:rFonts w:hint="eastAsia" w:ascii="Times New Roman" w:hAnsi="Times New Roman" w:eastAsia="仿宋" w:cs="Times New Roman"/>
                <w:color w:val="auto"/>
                <w:sz w:val="21"/>
                <w:szCs w:val="21"/>
                <w:lang w:val="en-US" w:eastAsia="zh-CN"/>
              </w:rPr>
              <w:t>，</w:t>
            </w:r>
            <w:r>
              <w:rPr>
                <w:rFonts w:ascii="Times New Roman" w:hAnsi="Times New Roman" w:eastAsia="仿宋" w:cs="Times New Roman"/>
                <w:color w:val="auto"/>
                <w:sz w:val="21"/>
                <w:szCs w:val="21"/>
                <w:lang w:val="en-US" w:eastAsia="zh-CN"/>
              </w:rPr>
              <w:t>520毫升装36000瓶/小时的瓶装饮用水生产线一条。二期投资2000万元</w:t>
            </w:r>
            <w:r>
              <w:rPr>
                <w:rFonts w:hint="eastAsia" w:ascii="Times New Roman" w:hAnsi="Times New Roman" w:eastAsia="仿宋" w:cs="Times New Roman"/>
                <w:color w:val="auto"/>
                <w:sz w:val="21"/>
                <w:szCs w:val="21"/>
                <w:lang w:val="en-US" w:eastAsia="zh-CN"/>
              </w:rPr>
              <w:t>，</w:t>
            </w:r>
            <w:r>
              <w:rPr>
                <w:rFonts w:ascii="Times New Roman" w:hAnsi="Times New Roman" w:eastAsia="仿宋" w:cs="Times New Roman"/>
                <w:color w:val="auto"/>
                <w:sz w:val="21"/>
                <w:szCs w:val="21"/>
                <w:lang w:val="en-US" w:eastAsia="zh-CN"/>
              </w:rPr>
              <w:t>建设15升装1000桶每小时一次性桶装水生产线。</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2021-2022</w:t>
            </w:r>
          </w:p>
        </w:tc>
        <w:tc>
          <w:tcPr>
            <w:tcW w:w="9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6000</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6000</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华宁县人民政府</w:t>
            </w:r>
          </w:p>
        </w:tc>
        <w:tc>
          <w:tcPr>
            <w:tcW w:w="125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华宁县</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hint="eastAsia" w:ascii="Times New Roman" w:hAnsi="Times New Roman" w:eastAsia="仿宋" w:cs="Times New Roman"/>
                <w:color w:val="auto"/>
                <w:sz w:val="21"/>
                <w:szCs w:val="21"/>
                <w:lang w:val="en-US" w:eastAsia="zh-CN"/>
              </w:rPr>
            </w:pPr>
          </w:p>
        </w:tc>
      </w:tr>
      <w:tr>
        <w:trPr>
          <w:trHeight w:val="408"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r>
              <w:rPr>
                <w:rFonts w:hint="eastAsia" w:ascii="Times New Roman" w:hAnsi="Times New Roman" w:eastAsia="仿宋" w:cs="Times New Roman"/>
                <w:b/>
                <w:bCs/>
                <w:color w:val="auto"/>
                <w:sz w:val="21"/>
                <w:szCs w:val="21"/>
                <w:lang w:val="en-US" w:eastAsia="zh-CN"/>
              </w:rPr>
              <w:t>三</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r>
              <w:rPr>
                <w:rFonts w:hint="eastAsia" w:ascii="Times New Roman" w:hAnsi="Times New Roman" w:eastAsia="仿宋" w:cs="Times New Roman"/>
                <w:b/>
                <w:bCs/>
                <w:color w:val="auto"/>
                <w:sz w:val="21"/>
                <w:szCs w:val="21"/>
                <w:lang w:val="en-US" w:eastAsia="zh-CN"/>
              </w:rPr>
              <w:t>前期项目（</w:t>
            </w:r>
            <w:r>
              <w:rPr>
                <w:rFonts w:ascii="Times New Roman" w:hAnsi="Times New Roman" w:eastAsia="仿宋" w:cs="Times New Roman"/>
                <w:b/>
                <w:bCs/>
                <w:color w:val="auto"/>
                <w:sz w:val="21"/>
                <w:szCs w:val="21"/>
                <w:lang w:val="en-US" w:eastAsia="zh-CN"/>
              </w:rPr>
              <w:t>20项）</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p>
        </w:tc>
        <w:tc>
          <w:tcPr>
            <w:tcW w:w="473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left"/>
              <w:rPr>
                <w:rFonts w:ascii="Times New Roman" w:hAnsi="Times New Roman" w:eastAsia="仿宋" w:cs="Times New Roman"/>
                <w:b/>
                <w:bCs/>
                <w:color w:val="auto"/>
                <w:sz w:val="21"/>
                <w:szCs w:val="21"/>
                <w:lang w:val="en-US" w:eastAsia="zh-CN"/>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p>
        </w:tc>
        <w:tc>
          <w:tcPr>
            <w:tcW w:w="9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r>
              <w:rPr>
                <w:rFonts w:ascii="Times New Roman" w:hAnsi="Times New Roman" w:eastAsia="仿宋" w:cs="Times New Roman"/>
                <w:b/>
                <w:bCs/>
                <w:color w:val="auto"/>
                <w:sz w:val="21"/>
                <w:szCs w:val="21"/>
                <w:lang w:val="en-US" w:eastAsia="zh-CN"/>
              </w:rPr>
              <w:t>625011</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r>
              <w:rPr>
                <w:rFonts w:ascii="Times New Roman" w:hAnsi="Times New Roman" w:eastAsia="仿宋" w:cs="Times New Roman"/>
                <w:b/>
                <w:bCs/>
                <w:color w:val="auto"/>
                <w:sz w:val="21"/>
                <w:szCs w:val="21"/>
                <w:lang w:val="en-US" w:eastAsia="zh-CN"/>
              </w:rPr>
              <w:t>465011</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p>
        </w:tc>
        <w:tc>
          <w:tcPr>
            <w:tcW w:w="125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p>
        </w:tc>
      </w:tr>
      <w:tr>
        <w:tblPrEx>
          <w:tblCellMar>
            <w:top w:w="0" w:type="dxa"/>
            <w:left w:w="108" w:type="dxa"/>
            <w:bottom w:w="0" w:type="dxa"/>
            <w:right w:w="108" w:type="dxa"/>
          </w:tblCellMar>
        </w:tblPrEx>
        <w:trPr>
          <w:trHeight w:val="547"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小石桥蔬菜深加工项目</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果蔬加工</w:t>
            </w:r>
          </w:p>
        </w:tc>
        <w:tc>
          <w:tcPr>
            <w:tcW w:w="473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left"/>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项目预计占地</w:t>
            </w:r>
            <w:r>
              <w:rPr>
                <w:rFonts w:ascii="Times New Roman" w:hAnsi="Times New Roman" w:eastAsia="仿宋" w:cs="Times New Roman"/>
                <w:color w:val="auto"/>
                <w:sz w:val="21"/>
                <w:szCs w:val="21"/>
                <w:lang w:val="en-US" w:eastAsia="zh-CN"/>
              </w:rPr>
              <w:t>50亩，含冷冻、脱水、加工、仓储集一体的蔬菜深加工项目。</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2024-2025</w:t>
            </w:r>
          </w:p>
        </w:tc>
        <w:tc>
          <w:tcPr>
            <w:tcW w:w="9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5000</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5000</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红塔区人民政府</w:t>
            </w:r>
          </w:p>
        </w:tc>
        <w:tc>
          <w:tcPr>
            <w:tcW w:w="125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红塔区</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hint="eastAsia" w:ascii="Times New Roman" w:hAnsi="Times New Roman" w:eastAsia="仿宋" w:cs="Times New Roman"/>
                <w:color w:val="auto"/>
                <w:sz w:val="21"/>
                <w:szCs w:val="21"/>
                <w:lang w:val="en-US" w:eastAsia="zh-CN"/>
              </w:rPr>
            </w:pPr>
          </w:p>
        </w:tc>
      </w:tr>
      <w:tr>
        <w:trPr>
          <w:trHeight w:val="1159"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玉溪市酱丰圆食品有限公司广信滇味料科技传承发展项目</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酱菜调味品与食品</w:t>
            </w:r>
            <w:r>
              <w:rPr>
                <w:rFonts w:hint="eastAsia" w:ascii="Times New Roman" w:hAnsi="Times New Roman" w:eastAsia="仿宋" w:cs="Times New Roman"/>
                <w:color w:val="auto"/>
                <w:sz w:val="21"/>
                <w:szCs w:val="21"/>
                <w:lang w:val="en-US" w:eastAsia="zh-CN"/>
              </w:rPr>
              <w:br w:type="textWrapping"/>
            </w:r>
            <w:r>
              <w:rPr>
                <w:rFonts w:hint="eastAsia" w:ascii="Times New Roman" w:hAnsi="Times New Roman" w:eastAsia="仿宋" w:cs="Times New Roman"/>
                <w:color w:val="auto"/>
                <w:sz w:val="21"/>
                <w:szCs w:val="21"/>
                <w:lang w:val="en-US" w:eastAsia="zh-CN"/>
              </w:rPr>
              <w:t>添加剂</w:t>
            </w:r>
          </w:p>
        </w:tc>
        <w:tc>
          <w:tcPr>
            <w:tcW w:w="473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left"/>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建设标准化厂房</w:t>
            </w:r>
            <w:r>
              <w:rPr>
                <w:rFonts w:ascii="Times New Roman" w:hAnsi="Times New Roman" w:eastAsia="仿宋" w:cs="Times New Roman"/>
                <w:color w:val="auto"/>
                <w:sz w:val="21"/>
                <w:szCs w:val="21"/>
                <w:lang w:val="en-US" w:eastAsia="zh-CN"/>
              </w:rPr>
              <w:t>6000平方米、研发中心2000平方米、传承中心3000平方米。主要生产滇调味酱，预期产量30000吨，生产技术达到国内领先水平。</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2022-2023</w:t>
            </w:r>
          </w:p>
        </w:tc>
        <w:tc>
          <w:tcPr>
            <w:tcW w:w="9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20000</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20000</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红塔区人民政府</w:t>
            </w:r>
          </w:p>
        </w:tc>
        <w:tc>
          <w:tcPr>
            <w:tcW w:w="125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红塔区</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hint="eastAsia" w:ascii="Times New Roman" w:hAnsi="Times New Roman" w:eastAsia="仿宋" w:cs="Times New Roman"/>
                <w:color w:val="auto"/>
                <w:sz w:val="21"/>
                <w:szCs w:val="21"/>
                <w:lang w:val="en-US" w:eastAsia="zh-CN"/>
              </w:rPr>
            </w:pPr>
          </w:p>
        </w:tc>
      </w:tr>
      <w:tr>
        <w:tblPrEx>
          <w:tblCellMar>
            <w:top w:w="0" w:type="dxa"/>
            <w:left w:w="108" w:type="dxa"/>
            <w:bottom w:w="0" w:type="dxa"/>
            <w:right w:w="108" w:type="dxa"/>
          </w:tblCellMar>
        </w:tblPrEx>
        <w:trPr>
          <w:trHeight w:val="245"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3</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宇培澄江电商冷链产业园项目</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相关产业</w:t>
            </w:r>
          </w:p>
        </w:tc>
        <w:tc>
          <w:tcPr>
            <w:tcW w:w="473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left"/>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计划用地</w:t>
            </w:r>
            <w:r>
              <w:rPr>
                <w:rFonts w:ascii="Times New Roman" w:hAnsi="Times New Roman" w:eastAsia="仿宋" w:cs="Times New Roman"/>
                <w:color w:val="auto"/>
                <w:sz w:val="21"/>
                <w:szCs w:val="21"/>
                <w:lang w:val="en-US" w:eastAsia="zh-CN"/>
              </w:rPr>
              <w:t>400亩，拟投资7.5亿元，主要建设仓储、物流、冷链等配套设施，该项目规划为宇培电商、宇培供应链在云南区域的运营总部，经销进口农副产品、生鲜冷冻、进口牛羊肉等产品进行跨境电商国际贸易。</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2023-2025</w:t>
            </w:r>
          </w:p>
        </w:tc>
        <w:tc>
          <w:tcPr>
            <w:tcW w:w="9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75000</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75000</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澄江市人民政府</w:t>
            </w:r>
          </w:p>
        </w:tc>
        <w:tc>
          <w:tcPr>
            <w:tcW w:w="125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澄江市</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hint="eastAsia" w:ascii="Times New Roman" w:hAnsi="Times New Roman" w:eastAsia="仿宋" w:cs="Times New Roman"/>
                <w:color w:val="auto"/>
                <w:sz w:val="21"/>
                <w:szCs w:val="21"/>
                <w:lang w:val="en-US" w:eastAsia="zh-CN"/>
              </w:rPr>
            </w:pPr>
          </w:p>
        </w:tc>
      </w:tr>
      <w:tr>
        <w:trPr>
          <w:trHeight w:val="1180"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4</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昆明福宽食品年产</w:t>
            </w:r>
            <w:r>
              <w:rPr>
                <w:rFonts w:ascii="Times New Roman" w:hAnsi="Times New Roman" w:eastAsia="仿宋" w:cs="Times New Roman"/>
                <w:color w:val="auto"/>
                <w:sz w:val="21"/>
                <w:szCs w:val="21"/>
                <w:lang w:val="en-US" w:eastAsia="zh-CN"/>
              </w:rPr>
              <w:t>20000吨豆花粉及其它农产品精深加工项目</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营养及保健食品制造</w:t>
            </w:r>
          </w:p>
        </w:tc>
        <w:tc>
          <w:tcPr>
            <w:tcW w:w="473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left"/>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用地面积约</w:t>
            </w:r>
            <w:r>
              <w:rPr>
                <w:rFonts w:ascii="Times New Roman" w:hAnsi="Times New Roman" w:eastAsia="仿宋" w:cs="Times New Roman"/>
                <w:color w:val="auto"/>
                <w:sz w:val="21"/>
                <w:szCs w:val="21"/>
                <w:lang w:val="en-US" w:eastAsia="zh-CN"/>
              </w:rPr>
              <w:t>30亩，建设9395.6平方米一体化厂房（预处理车间、精工车间）、原料库、成品库、综合办公楼、宿舍公寓、食堂、环保消防中心、配电、停车场及公共活动区等辅助工程。</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2022-2024</w:t>
            </w:r>
          </w:p>
        </w:tc>
        <w:tc>
          <w:tcPr>
            <w:tcW w:w="9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8350</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8350</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易门县人民政府</w:t>
            </w:r>
          </w:p>
        </w:tc>
        <w:tc>
          <w:tcPr>
            <w:tcW w:w="125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易门县</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hint="eastAsia" w:ascii="Times New Roman" w:hAnsi="Times New Roman" w:eastAsia="仿宋" w:cs="Times New Roman"/>
                <w:color w:val="auto"/>
                <w:sz w:val="21"/>
                <w:szCs w:val="21"/>
                <w:lang w:val="en-US" w:eastAsia="zh-CN"/>
              </w:rPr>
            </w:pPr>
          </w:p>
        </w:tc>
      </w:tr>
      <w:tr>
        <w:tblPrEx>
          <w:tblCellMar>
            <w:top w:w="0" w:type="dxa"/>
            <w:left w:w="108" w:type="dxa"/>
            <w:bottom w:w="0" w:type="dxa"/>
            <w:right w:w="108" w:type="dxa"/>
          </w:tblCellMar>
        </w:tblPrEx>
        <w:trPr>
          <w:trHeight w:val="1336"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5</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易门辰丰农产品开发有限公司年产蔬菜</w:t>
            </w:r>
            <w:r>
              <w:rPr>
                <w:rFonts w:ascii="Times New Roman" w:hAnsi="Times New Roman" w:eastAsia="仿宋" w:cs="Times New Roman"/>
                <w:color w:val="auto"/>
                <w:sz w:val="21"/>
                <w:szCs w:val="21"/>
                <w:lang w:val="en-US" w:eastAsia="zh-CN"/>
              </w:rPr>
              <w:t>20万吨、酱菜（调味品）2500吨生产加工项目</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酱菜调味品与食品</w:t>
            </w:r>
            <w:r>
              <w:rPr>
                <w:rFonts w:hint="eastAsia" w:ascii="Times New Roman" w:hAnsi="Times New Roman" w:eastAsia="仿宋" w:cs="Times New Roman"/>
                <w:color w:val="auto"/>
                <w:sz w:val="21"/>
                <w:szCs w:val="21"/>
                <w:lang w:val="en-US" w:eastAsia="zh-CN"/>
              </w:rPr>
              <w:br w:type="textWrapping"/>
            </w:r>
            <w:r>
              <w:rPr>
                <w:rFonts w:hint="eastAsia" w:ascii="Times New Roman" w:hAnsi="Times New Roman" w:eastAsia="仿宋" w:cs="Times New Roman"/>
                <w:color w:val="auto"/>
                <w:sz w:val="21"/>
                <w:szCs w:val="21"/>
                <w:lang w:val="en-US" w:eastAsia="zh-CN"/>
              </w:rPr>
              <w:t>添加剂</w:t>
            </w:r>
          </w:p>
        </w:tc>
        <w:tc>
          <w:tcPr>
            <w:tcW w:w="473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left"/>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新建</w:t>
            </w:r>
            <w:r>
              <w:rPr>
                <w:rFonts w:ascii="Times New Roman" w:hAnsi="Times New Roman" w:eastAsia="仿宋" w:cs="Times New Roman"/>
                <w:color w:val="auto"/>
                <w:sz w:val="21"/>
                <w:szCs w:val="21"/>
                <w:lang w:val="en-US" w:eastAsia="zh-CN"/>
              </w:rPr>
              <w:t>4550平方米厂房、办公楼、职工宿舍等配套设施，建设新鲜蔬菜加工、酱菜（调味品）加工生产线各一条，年产新鲜蔬菜20万吨、年产酱菜（调味品）2500吨。</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2022</w:t>
            </w:r>
          </w:p>
        </w:tc>
        <w:tc>
          <w:tcPr>
            <w:tcW w:w="9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1435</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1435</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易门县人民政府</w:t>
            </w:r>
          </w:p>
        </w:tc>
        <w:tc>
          <w:tcPr>
            <w:tcW w:w="125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易门县</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hint="eastAsia" w:ascii="Times New Roman" w:hAnsi="Times New Roman" w:eastAsia="仿宋" w:cs="Times New Roman"/>
                <w:color w:val="auto"/>
                <w:sz w:val="21"/>
                <w:szCs w:val="21"/>
                <w:lang w:val="en-US" w:eastAsia="zh-CN"/>
              </w:rPr>
            </w:pPr>
          </w:p>
        </w:tc>
      </w:tr>
      <w:tr>
        <w:trPr>
          <w:trHeight w:val="275"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6</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易门大掌柜农业开发有限公司年产</w:t>
            </w:r>
            <w:r>
              <w:rPr>
                <w:rFonts w:ascii="Times New Roman" w:hAnsi="Times New Roman" w:eastAsia="仿宋" w:cs="Times New Roman"/>
                <w:color w:val="auto"/>
                <w:sz w:val="21"/>
                <w:szCs w:val="21"/>
                <w:lang w:val="en-US" w:eastAsia="zh-CN"/>
              </w:rPr>
              <w:t>1万吨农副产品生产加工建设项目</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肉类绿色食品制造</w:t>
            </w:r>
          </w:p>
        </w:tc>
        <w:tc>
          <w:tcPr>
            <w:tcW w:w="473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left"/>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新建</w:t>
            </w:r>
            <w:r>
              <w:rPr>
                <w:rFonts w:ascii="Times New Roman" w:hAnsi="Times New Roman" w:eastAsia="仿宋" w:cs="Times New Roman"/>
                <w:color w:val="auto"/>
                <w:sz w:val="21"/>
                <w:szCs w:val="21"/>
                <w:lang w:val="en-US" w:eastAsia="zh-CN"/>
              </w:rPr>
              <w:t>12000平方米的厂房、办公楼、冷冻冷藏库、职工宿舍、污水处理池等配套</w:t>
            </w:r>
            <w:r>
              <w:rPr>
                <w:rFonts w:hint="eastAsia" w:ascii="Times New Roman" w:hAnsi="Times New Roman" w:eastAsia="仿宋" w:cs="Times New Roman"/>
                <w:color w:val="auto"/>
                <w:sz w:val="21"/>
                <w:szCs w:val="21"/>
                <w:lang w:val="en-US" w:eastAsia="zh-CN"/>
              </w:rPr>
              <w:t>设施</w:t>
            </w:r>
            <w:r>
              <w:rPr>
                <w:rFonts w:ascii="Times New Roman" w:hAnsi="Times New Roman" w:eastAsia="仿宋" w:cs="Times New Roman"/>
                <w:color w:val="auto"/>
                <w:sz w:val="21"/>
                <w:szCs w:val="21"/>
                <w:lang w:val="en-US" w:eastAsia="zh-CN"/>
              </w:rPr>
              <w:t>，建设2条现代化生鲜绿色食品制造生产线及仓储物流，年加工鲜肉1321吨，年处理新鲜水果、蔬菜8679吨。</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2022-2023</w:t>
            </w:r>
          </w:p>
        </w:tc>
        <w:tc>
          <w:tcPr>
            <w:tcW w:w="9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5400</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5400</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易门县人民政府</w:t>
            </w:r>
          </w:p>
        </w:tc>
        <w:tc>
          <w:tcPr>
            <w:tcW w:w="125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易门县</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hint="eastAsia" w:ascii="Times New Roman" w:hAnsi="Times New Roman" w:eastAsia="仿宋" w:cs="Times New Roman"/>
                <w:color w:val="auto"/>
                <w:sz w:val="21"/>
                <w:szCs w:val="21"/>
                <w:lang w:val="en-US" w:eastAsia="zh-CN"/>
              </w:rPr>
            </w:pPr>
          </w:p>
        </w:tc>
      </w:tr>
      <w:tr>
        <w:tblPrEx>
          <w:tblCellMar>
            <w:top w:w="0" w:type="dxa"/>
            <w:left w:w="108" w:type="dxa"/>
            <w:bottom w:w="0" w:type="dxa"/>
            <w:right w:w="108" w:type="dxa"/>
          </w:tblCellMar>
        </w:tblPrEx>
        <w:trPr>
          <w:trHeight w:val="763"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7</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云南恒华食品有限公司天然果酱、馅料生产项目</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果蔬加工</w:t>
            </w:r>
          </w:p>
        </w:tc>
        <w:tc>
          <w:tcPr>
            <w:tcW w:w="473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left"/>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新建</w:t>
            </w:r>
            <w:r>
              <w:rPr>
                <w:rFonts w:ascii="Times New Roman" w:hAnsi="Times New Roman" w:eastAsia="仿宋" w:cs="Times New Roman"/>
                <w:color w:val="auto"/>
                <w:sz w:val="21"/>
                <w:szCs w:val="21"/>
                <w:lang w:val="en-US" w:eastAsia="zh-CN"/>
              </w:rPr>
              <w:t>11523.33平方米厂房、仓储、办公综合楼、 员工宿舍、食堂以及相应配套设施，建设年产 5000吨天然果脯馅料及糕点生产线。</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2022-2023</w:t>
            </w:r>
          </w:p>
        </w:tc>
        <w:tc>
          <w:tcPr>
            <w:tcW w:w="9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3600</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3600</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易门县人民政府</w:t>
            </w:r>
          </w:p>
        </w:tc>
        <w:tc>
          <w:tcPr>
            <w:tcW w:w="125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易门县</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hint="eastAsia" w:ascii="Times New Roman" w:hAnsi="Times New Roman" w:eastAsia="仿宋" w:cs="Times New Roman"/>
                <w:color w:val="auto"/>
                <w:sz w:val="21"/>
                <w:szCs w:val="21"/>
                <w:lang w:val="en-US" w:eastAsia="zh-CN"/>
              </w:rPr>
            </w:pPr>
          </w:p>
        </w:tc>
      </w:tr>
      <w:tr>
        <w:trPr>
          <w:trHeight w:val="1014"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8</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何礼酱腌菜、辣椒、洋芋系列产品生产线整体搬迁扩建</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酱菜调味品与食品</w:t>
            </w:r>
          </w:p>
        </w:tc>
        <w:tc>
          <w:tcPr>
            <w:tcW w:w="473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left"/>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项目占地面积约</w:t>
            </w:r>
            <w:r>
              <w:rPr>
                <w:rFonts w:ascii="Times New Roman" w:hAnsi="Times New Roman" w:eastAsia="仿宋" w:cs="Times New Roman"/>
                <w:color w:val="auto"/>
                <w:sz w:val="21"/>
                <w:szCs w:val="21"/>
                <w:lang w:val="en-US" w:eastAsia="zh-CN"/>
              </w:rPr>
              <w:t>20亩，建筑面积为13000平方米，建设厂房、进厂道路、业务用房、污水处理区、围墙、绿化工程、过磅房、公共卫生间、供水设施、电力设施。建成后实现年产1万吨酱腌菜。</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2022-2023</w:t>
            </w:r>
          </w:p>
        </w:tc>
        <w:tc>
          <w:tcPr>
            <w:tcW w:w="9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3200</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3200</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新平县人民政府</w:t>
            </w:r>
          </w:p>
        </w:tc>
        <w:tc>
          <w:tcPr>
            <w:tcW w:w="125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新平县</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hint="eastAsia" w:ascii="Times New Roman" w:hAnsi="Times New Roman" w:eastAsia="仿宋" w:cs="Times New Roman"/>
                <w:color w:val="auto"/>
                <w:sz w:val="21"/>
                <w:szCs w:val="21"/>
                <w:lang w:val="en-US" w:eastAsia="zh-CN"/>
              </w:rPr>
            </w:pPr>
          </w:p>
        </w:tc>
      </w:tr>
      <w:tr>
        <w:tblPrEx>
          <w:tblCellMar>
            <w:top w:w="0" w:type="dxa"/>
            <w:left w:w="108" w:type="dxa"/>
            <w:bottom w:w="0" w:type="dxa"/>
            <w:right w:w="108" w:type="dxa"/>
          </w:tblCellMar>
        </w:tblPrEx>
        <w:trPr>
          <w:trHeight w:val="1018"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9</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云南益生绿色食品有限责任公司野菌调味食材深加工项目</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酱菜调味品与食品</w:t>
            </w:r>
            <w:r>
              <w:rPr>
                <w:rFonts w:hint="eastAsia" w:ascii="Times New Roman" w:hAnsi="Times New Roman" w:eastAsia="仿宋" w:cs="Times New Roman"/>
                <w:color w:val="auto"/>
                <w:sz w:val="21"/>
                <w:szCs w:val="21"/>
                <w:lang w:val="en-US" w:eastAsia="zh-CN"/>
              </w:rPr>
              <w:br w:type="textWrapping"/>
            </w:r>
            <w:r>
              <w:rPr>
                <w:rFonts w:hint="eastAsia" w:ascii="Times New Roman" w:hAnsi="Times New Roman" w:eastAsia="仿宋" w:cs="Times New Roman"/>
                <w:color w:val="auto"/>
                <w:sz w:val="21"/>
                <w:szCs w:val="21"/>
                <w:lang w:val="en-US" w:eastAsia="zh-CN"/>
              </w:rPr>
              <w:t>添加剂</w:t>
            </w:r>
          </w:p>
        </w:tc>
        <w:tc>
          <w:tcPr>
            <w:tcW w:w="473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left"/>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6100平方米的野菌调味食材生产线二条；产品研发中心、产品检测应用设施建设850平方米。</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2022</w:t>
            </w:r>
          </w:p>
        </w:tc>
        <w:tc>
          <w:tcPr>
            <w:tcW w:w="9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3300</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3300</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易门县人民政府</w:t>
            </w:r>
          </w:p>
        </w:tc>
        <w:tc>
          <w:tcPr>
            <w:tcW w:w="125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易门县</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hint="eastAsia" w:ascii="Times New Roman" w:hAnsi="Times New Roman" w:eastAsia="仿宋" w:cs="Times New Roman"/>
                <w:color w:val="auto"/>
                <w:sz w:val="21"/>
                <w:szCs w:val="21"/>
                <w:lang w:val="en-US" w:eastAsia="zh-CN"/>
              </w:rPr>
            </w:pPr>
          </w:p>
        </w:tc>
      </w:tr>
      <w:tr>
        <w:trPr>
          <w:trHeight w:val="1605"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10</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元江县柑橘皮产业化精深加工项目</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果蔬加工</w:t>
            </w:r>
          </w:p>
        </w:tc>
        <w:tc>
          <w:tcPr>
            <w:tcW w:w="473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left"/>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用地面积</w:t>
            </w:r>
            <w:r>
              <w:rPr>
                <w:rFonts w:ascii="Times New Roman" w:hAnsi="Times New Roman" w:eastAsia="仿宋" w:cs="Times New Roman"/>
                <w:color w:val="auto"/>
                <w:sz w:val="21"/>
                <w:szCs w:val="21"/>
                <w:lang w:val="en-US" w:eastAsia="zh-CN"/>
              </w:rPr>
              <w:t>100亩</w:t>
            </w:r>
            <w:r>
              <w:rPr>
                <w:rFonts w:hint="eastAsia" w:ascii="Times New Roman" w:hAnsi="Times New Roman" w:eastAsia="仿宋" w:cs="Times New Roman"/>
                <w:color w:val="auto"/>
                <w:sz w:val="21"/>
                <w:szCs w:val="21"/>
                <w:lang w:val="en-US" w:eastAsia="zh-CN"/>
              </w:rPr>
              <w:t>，建设</w:t>
            </w:r>
            <w:r>
              <w:rPr>
                <w:rFonts w:ascii="Times New Roman" w:hAnsi="Times New Roman" w:eastAsia="仿宋" w:cs="Times New Roman"/>
                <w:color w:val="auto"/>
                <w:sz w:val="21"/>
                <w:szCs w:val="21"/>
                <w:lang w:val="en-US" w:eastAsia="zh-CN"/>
              </w:rPr>
              <w:t>生产区、辅助生产区及相关设备设施，并建设成品库、原料仓储库、辅料材料库等基础配套工程系统。</w:t>
            </w:r>
            <w:r>
              <w:rPr>
                <w:rFonts w:hint="eastAsia" w:ascii="Times New Roman" w:hAnsi="Times New Roman" w:eastAsia="仿宋" w:cs="Times New Roman"/>
                <w:color w:val="auto"/>
                <w:sz w:val="21"/>
                <w:szCs w:val="21"/>
                <w:lang w:val="en-US" w:eastAsia="zh-CN"/>
              </w:rPr>
              <w:t>建成</w:t>
            </w:r>
            <w:r>
              <w:rPr>
                <w:rFonts w:ascii="Times New Roman" w:hAnsi="Times New Roman" w:eastAsia="仿宋" w:cs="Times New Roman"/>
                <w:color w:val="auto"/>
                <w:sz w:val="21"/>
                <w:szCs w:val="21"/>
                <w:lang w:val="en-US" w:eastAsia="zh-CN"/>
              </w:rPr>
              <w:t>年产柑橘果胶4000吨生产线、年产橙皮苷（类黄酮）4000吨生产线、年产橘皮香料精油5000吨、年产膳食纤维10000吨生产线、年产皮渣蛋白饲料15000吨生产线及橘皮休闲食品生产线。</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2024-2027</w:t>
            </w:r>
          </w:p>
        </w:tc>
        <w:tc>
          <w:tcPr>
            <w:tcW w:w="9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16000</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8000</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元江县人民政府</w:t>
            </w:r>
          </w:p>
        </w:tc>
        <w:tc>
          <w:tcPr>
            <w:tcW w:w="125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元江县</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hint="eastAsia" w:ascii="Times New Roman" w:hAnsi="Times New Roman" w:eastAsia="仿宋" w:cs="Times New Roman"/>
                <w:color w:val="auto"/>
                <w:sz w:val="21"/>
                <w:szCs w:val="21"/>
                <w:lang w:val="en-US" w:eastAsia="zh-CN"/>
              </w:rPr>
            </w:pPr>
          </w:p>
        </w:tc>
      </w:tr>
      <w:tr>
        <w:tblPrEx>
          <w:tblCellMar>
            <w:top w:w="0" w:type="dxa"/>
            <w:left w:w="108" w:type="dxa"/>
            <w:bottom w:w="0" w:type="dxa"/>
            <w:right w:w="108" w:type="dxa"/>
          </w:tblCellMar>
        </w:tblPrEx>
        <w:trPr>
          <w:trHeight w:val="1250"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11</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元江县果汁系列饮料及休闲（果脯）绿色食品制造项目</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果蔬加工</w:t>
            </w:r>
          </w:p>
        </w:tc>
        <w:tc>
          <w:tcPr>
            <w:tcW w:w="473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left"/>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项目拟占地</w:t>
            </w:r>
            <w:r>
              <w:rPr>
                <w:rFonts w:ascii="Times New Roman" w:hAnsi="Times New Roman" w:eastAsia="仿宋" w:cs="Times New Roman"/>
                <w:color w:val="auto"/>
                <w:sz w:val="21"/>
                <w:szCs w:val="21"/>
                <w:lang w:val="en-US" w:eastAsia="zh-CN"/>
              </w:rPr>
              <w:t xml:space="preserve"> 100 亩， 主要建设内容包括主要生产系统（生产车间）、辅助生产系统及相关设备设施（高效榨汁技术、高温短时杀菌技术、无菌包装技术、酶液化与澄清技术、膜技术等），以及公共基础配套工程系统。</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2024-2026</w:t>
            </w:r>
          </w:p>
        </w:tc>
        <w:tc>
          <w:tcPr>
            <w:tcW w:w="9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15000</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7000</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元江县人民政府</w:t>
            </w:r>
          </w:p>
        </w:tc>
        <w:tc>
          <w:tcPr>
            <w:tcW w:w="125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元江县</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hint="eastAsia" w:ascii="Times New Roman" w:hAnsi="Times New Roman" w:eastAsia="仿宋" w:cs="Times New Roman"/>
                <w:color w:val="auto"/>
                <w:sz w:val="21"/>
                <w:szCs w:val="21"/>
                <w:lang w:val="en-US" w:eastAsia="zh-CN"/>
              </w:rPr>
            </w:pPr>
          </w:p>
        </w:tc>
      </w:tr>
      <w:tr>
        <w:trPr>
          <w:trHeight w:val="1599"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12</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元江县热带水果精深加工产业园建设项目</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果蔬加工</w:t>
            </w:r>
          </w:p>
        </w:tc>
        <w:tc>
          <w:tcPr>
            <w:tcW w:w="473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left"/>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项目占地面积</w:t>
            </w:r>
            <w:r>
              <w:rPr>
                <w:rFonts w:ascii="Times New Roman" w:hAnsi="Times New Roman" w:eastAsia="仿宋" w:cs="Times New Roman"/>
                <w:color w:val="auto"/>
                <w:sz w:val="21"/>
                <w:szCs w:val="21"/>
                <w:lang w:val="en-US" w:eastAsia="zh-CN"/>
              </w:rPr>
              <w:t>1000亩，建设生物资源总部经济区（研发设计）、农特生物制品生产区（生产加工）、农特生物制品“Mall商城”（特色商贸）、生物特色产品文化展示中心（文化展示）、配套服务区五大功能片区，形成集研发、生产、贸易、文化展示于一体的综合型产业“园中园”。</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2024-2028</w:t>
            </w:r>
          </w:p>
        </w:tc>
        <w:tc>
          <w:tcPr>
            <w:tcW w:w="9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200000</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80000</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元江县人民政府</w:t>
            </w:r>
          </w:p>
        </w:tc>
        <w:tc>
          <w:tcPr>
            <w:tcW w:w="125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元江县</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hint="eastAsia" w:ascii="Times New Roman" w:hAnsi="Times New Roman" w:eastAsia="仿宋" w:cs="Times New Roman"/>
                <w:color w:val="auto"/>
                <w:sz w:val="21"/>
                <w:szCs w:val="21"/>
                <w:lang w:val="en-US" w:eastAsia="zh-CN"/>
              </w:rPr>
            </w:pPr>
          </w:p>
        </w:tc>
      </w:tr>
      <w:tr>
        <w:tblPrEx>
          <w:tblCellMar>
            <w:top w:w="0" w:type="dxa"/>
            <w:left w:w="108" w:type="dxa"/>
            <w:bottom w:w="0" w:type="dxa"/>
            <w:right w:w="108" w:type="dxa"/>
          </w:tblCellMar>
        </w:tblPrEx>
        <w:trPr>
          <w:trHeight w:val="811"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13</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元江县风味果酒及保健酒酿造生产项目</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酒及饮料制造</w:t>
            </w:r>
          </w:p>
        </w:tc>
        <w:tc>
          <w:tcPr>
            <w:tcW w:w="473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left"/>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拟建设年产</w:t>
            </w:r>
            <w:r>
              <w:rPr>
                <w:rFonts w:ascii="Times New Roman" w:hAnsi="Times New Roman" w:eastAsia="仿宋" w:cs="Times New Roman"/>
                <w:color w:val="auto"/>
                <w:sz w:val="21"/>
                <w:szCs w:val="21"/>
                <w:lang w:val="en-US" w:eastAsia="zh-CN"/>
              </w:rPr>
              <w:t>10000吨风味果酒生产线、年产10000吨保健酒酿造生产线，办公楼及配套设施等。</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2024-2026</w:t>
            </w:r>
          </w:p>
        </w:tc>
        <w:tc>
          <w:tcPr>
            <w:tcW w:w="9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10000</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6000</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元江县人民政府</w:t>
            </w:r>
          </w:p>
        </w:tc>
        <w:tc>
          <w:tcPr>
            <w:tcW w:w="125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元江县</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hint="eastAsia" w:ascii="Times New Roman" w:hAnsi="Times New Roman" w:eastAsia="仿宋" w:cs="Times New Roman"/>
                <w:color w:val="auto"/>
                <w:sz w:val="21"/>
                <w:szCs w:val="21"/>
                <w:lang w:val="en-US" w:eastAsia="zh-CN"/>
              </w:rPr>
            </w:pPr>
          </w:p>
        </w:tc>
      </w:tr>
      <w:tr>
        <w:trPr>
          <w:trHeight w:val="643"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14</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元江县年产</w:t>
            </w:r>
            <w:r>
              <w:rPr>
                <w:rFonts w:ascii="Times New Roman" w:hAnsi="Times New Roman" w:eastAsia="仿宋" w:cs="Times New Roman"/>
                <w:color w:val="auto"/>
                <w:sz w:val="21"/>
                <w:szCs w:val="21"/>
                <w:lang w:val="en-US" w:eastAsia="zh-CN"/>
              </w:rPr>
              <w:t>20万吨啤酒生产线项目</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p>
        </w:tc>
        <w:tc>
          <w:tcPr>
            <w:tcW w:w="473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left"/>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建设生产区、生产辅助区、成品仓储区、原料仓储区、公共服务区五大板块，占地面积</w:t>
            </w:r>
            <w:r>
              <w:rPr>
                <w:rFonts w:ascii="Times New Roman" w:hAnsi="Times New Roman" w:eastAsia="仿宋" w:cs="Times New Roman"/>
                <w:color w:val="auto"/>
                <w:sz w:val="21"/>
                <w:szCs w:val="21"/>
                <w:lang w:val="en-US" w:eastAsia="zh-CN"/>
              </w:rPr>
              <w:t>100亩。</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2024-2026</w:t>
            </w:r>
          </w:p>
        </w:tc>
        <w:tc>
          <w:tcPr>
            <w:tcW w:w="9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30000</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20000</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元江县人民政府</w:t>
            </w:r>
          </w:p>
        </w:tc>
        <w:tc>
          <w:tcPr>
            <w:tcW w:w="125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元江县</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hint="eastAsia" w:ascii="Times New Roman" w:hAnsi="Times New Roman" w:eastAsia="仿宋" w:cs="Times New Roman"/>
                <w:color w:val="auto"/>
                <w:sz w:val="21"/>
                <w:szCs w:val="21"/>
                <w:lang w:val="en-US" w:eastAsia="zh-CN"/>
              </w:rPr>
            </w:pPr>
          </w:p>
        </w:tc>
      </w:tr>
      <w:tr>
        <w:tblPrEx>
          <w:tblCellMar>
            <w:top w:w="0" w:type="dxa"/>
            <w:left w:w="108" w:type="dxa"/>
            <w:bottom w:w="0" w:type="dxa"/>
            <w:right w:w="108" w:type="dxa"/>
          </w:tblCellMar>
        </w:tblPrEx>
        <w:trPr>
          <w:trHeight w:val="410"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15</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元江县茉莉花香精、香料精深加工</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烘焙食品与糖果制造</w:t>
            </w:r>
          </w:p>
        </w:tc>
        <w:tc>
          <w:tcPr>
            <w:tcW w:w="473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left"/>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建设办公楼、产品研发中心、生产车间、原料仓库、产品仓库、生活服务及配套、其他配套设施等，占地面积</w:t>
            </w:r>
            <w:r>
              <w:rPr>
                <w:rFonts w:ascii="Times New Roman" w:hAnsi="Times New Roman" w:eastAsia="仿宋" w:cs="Times New Roman"/>
                <w:color w:val="auto"/>
                <w:sz w:val="21"/>
                <w:szCs w:val="21"/>
                <w:lang w:val="en-US" w:eastAsia="zh-CN"/>
              </w:rPr>
              <w:t>100亩。</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2022-2025</w:t>
            </w:r>
          </w:p>
        </w:tc>
        <w:tc>
          <w:tcPr>
            <w:tcW w:w="9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20000</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20000</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元江县人民政府</w:t>
            </w:r>
          </w:p>
        </w:tc>
        <w:tc>
          <w:tcPr>
            <w:tcW w:w="125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元江县</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hint="eastAsia" w:ascii="Times New Roman" w:hAnsi="Times New Roman" w:eastAsia="仿宋" w:cs="Times New Roman"/>
                <w:color w:val="auto"/>
                <w:sz w:val="21"/>
                <w:szCs w:val="21"/>
                <w:lang w:val="en-US" w:eastAsia="zh-CN"/>
              </w:rPr>
            </w:pPr>
          </w:p>
        </w:tc>
      </w:tr>
      <w:tr>
        <w:trPr>
          <w:trHeight w:val="2035"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16</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元江县精品糖果及药用蔗糖精深加工项目</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烘焙食品与糖果制造</w:t>
            </w:r>
          </w:p>
        </w:tc>
        <w:tc>
          <w:tcPr>
            <w:tcW w:w="473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left"/>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项目用地面积</w:t>
            </w:r>
            <w:r>
              <w:rPr>
                <w:rFonts w:ascii="Times New Roman" w:hAnsi="Times New Roman" w:eastAsia="仿宋" w:cs="Times New Roman"/>
                <w:color w:val="auto"/>
                <w:sz w:val="21"/>
                <w:szCs w:val="21"/>
                <w:lang w:val="en-US" w:eastAsia="zh-CN"/>
              </w:rPr>
              <w:t>100亩。拟建设年产15000吨精品糖果生产线、年产15000吨药用蔗糖生产线。主要建设生产系统（生产车间）、辅助生产系统及相关设备设施，并建设原料库房、成品库房、冷库、供配电站、泵房、锅炉房、机修车间、消毒室等辅助生产系统及办公、研发检测、绿化、道路、环保等公共基础配套工程系统。</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2024-2027</w:t>
            </w:r>
          </w:p>
        </w:tc>
        <w:tc>
          <w:tcPr>
            <w:tcW w:w="9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20000</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10000</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元江县人民政府</w:t>
            </w:r>
          </w:p>
        </w:tc>
        <w:tc>
          <w:tcPr>
            <w:tcW w:w="125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元江县</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hint="eastAsia" w:ascii="Times New Roman" w:hAnsi="Times New Roman" w:eastAsia="仿宋" w:cs="Times New Roman"/>
                <w:color w:val="auto"/>
                <w:sz w:val="21"/>
                <w:szCs w:val="21"/>
                <w:lang w:val="en-US" w:eastAsia="zh-CN"/>
              </w:rPr>
            </w:pPr>
          </w:p>
        </w:tc>
      </w:tr>
      <w:tr>
        <w:tblPrEx>
          <w:tblCellMar>
            <w:top w:w="0" w:type="dxa"/>
            <w:left w:w="108" w:type="dxa"/>
            <w:bottom w:w="0" w:type="dxa"/>
            <w:right w:w="108" w:type="dxa"/>
          </w:tblCellMar>
        </w:tblPrEx>
        <w:trPr>
          <w:trHeight w:val="847"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17</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正大集团项目</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相关产业</w:t>
            </w:r>
          </w:p>
        </w:tc>
        <w:tc>
          <w:tcPr>
            <w:tcW w:w="473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left"/>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在通海曲陀关片区投资建设玉溪果蔬产后处理与精深加工中心，打造全国一流的规模化、标准化示范基地。</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2023-2025</w:t>
            </w:r>
          </w:p>
        </w:tc>
        <w:tc>
          <w:tcPr>
            <w:tcW w:w="9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通海县人民政府</w:t>
            </w:r>
          </w:p>
        </w:tc>
        <w:tc>
          <w:tcPr>
            <w:tcW w:w="125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通海县</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hint="eastAsia" w:ascii="Times New Roman" w:hAnsi="Times New Roman" w:eastAsia="仿宋" w:cs="Times New Roman"/>
                <w:color w:val="auto"/>
                <w:sz w:val="21"/>
                <w:szCs w:val="21"/>
                <w:lang w:val="en-US" w:eastAsia="zh-CN"/>
              </w:rPr>
            </w:pPr>
          </w:p>
        </w:tc>
      </w:tr>
      <w:tr>
        <w:trPr>
          <w:trHeight w:val="1050"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18</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云南宏斌绿色食品集团有限公司发酵蔬菜加工关键共性技术研究与产业化示范项目</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酱菜调味品与食品</w:t>
            </w:r>
            <w:r>
              <w:rPr>
                <w:rFonts w:hint="eastAsia" w:ascii="Times New Roman" w:hAnsi="Times New Roman" w:eastAsia="仿宋" w:cs="Times New Roman"/>
                <w:color w:val="auto"/>
                <w:sz w:val="21"/>
                <w:szCs w:val="21"/>
                <w:lang w:val="en-US" w:eastAsia="zh-CN"/>
              </w:rPr>
              <w:br w:type="textWrapping"/>
            </w:r>
            <w:r>
              <w:rPr>
                <w:rFonts w:hint="eastAsia" w:ascii="Times New Roman" w:hAnsi="Times New Roman" w:eastAsia="仿宋" w:cs="Times New Roman"/>
                <w:color w:val="auto"/>
                <w:sz w:val="21"/>
                <w:szCs w:val="21"/>
                <w:lang w:val="en-US" w:eastAsia="zh-CN"/>
              </w:rPr>
              <w:t>添加剂</w:t>
            </w:r>
          </w:p>
        </w:tc>
        <w:tc>
          <w:tcPr>
            <w:tcW w:w="473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left"/>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构建产地、贮运发酵蔬菜原材料处理体系；建成云南自有蔬菜发酵菌种库，建设全国第一的小米辣、黄姜专用发酵菌种分库；建立国内先进水平的发酵工艺精准控制生产技术体系；研发系列发酵蔬菜产品。</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2022-2024</w:t>
            </w:r>
          </w:p>
        </w:tc>
        <w:tc>
          <w:tcPr>
            <w:tcW w:w="9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6060</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6060</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江川区人民政府</w:t>
            </w:r>
          </w:p>
        </w:tc>
        <w:tc>
          <w:tcPr>
            <w:tcW w:w="125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江川区</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hint="eastAsia" w:ascii="Times New Roman" w:hAnsi="Times New Roman" w:eastAsia="仿宋" w:cs="Times New Roman"/>
                <w:color w:val="auto"/>
                <w:sz w:val="21"/>
                <w:szCs w:val="21"/>
                <w:lang w:val="en-US" w:eastAsia="zh-CN"/>
              </w:rPr>
            </w:pPr>
          </w:p>
        </w:tc>
      </w:tr>
      <w:tr>
        <w:tblPrEx>
          <w:tblCellMar>
            <w:top w:w="0" w:type="dxa"/>
            <w:left w:w="108" w:type="dxa"/>
            <w:bottom w:w="0" w:type="dxa"/>
            <w:right w:w="108" w:type="dxa"/>
          </w:tblCellMar>
        </w:tblPrEx>
        <w:trPr>
          <w:trHeight w:val="245"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19</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云南新平南恩糖纸有限责任公司搬迁改造转型升级项目</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烘焙食品与糖果制造</w:t>
            </w:r>
          </w:p>
        </w:tc>
        <w:tc>
          <w:tcPr>
            <w:tcW w:w="473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left"/>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建设日处理甘蔗</w:t>
            </w:r>
            <w:r>
              <w:rPr>
                <w:rFonts w:ascii="Times New Roman" w:hAnsi="Times New Roman" w:eastAsia="仿宋" w:cs="Times New Roman"/>
                <w:color w:val="auto"/>
                <w:sz w:val="21"/>
                <w:szCs w:val="21"/>
                <w:lang w:val="en-US" w:eastAsia="zh-CN"/>
              </w:rPr>
              <w:t>3500吨、日产酒精2.7万升、年产纸浆10.2万吨、年产生活用纸10.2万吨生产线各一条。</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2022-2025</w:t>
            </w:r>
          </w:p>
        </w:tc>
        <w:tc>
          <w:tcPr>
            <w:tcW w:w="9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120666</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120666</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新平县人民政府</w:t>
            </w:r>
          </w:p>
        </w:tc>
        <w:tc>
          <w:tcPr>
            <w:tcW w:w="125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新平县</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hint="eastAsia" w:ascii="Times New Roman" w:hAnsi="Times New Roman" w:eastAsia="仿宋" w:cs="Times New Roman"/>
                <w:color w:val="auto"/>
                <w:sz w:val="21"/>
                <w:szCs w:val="21"/>
                <w:lang w:val="en-US" w:eastAsia="zh-CN"/>
              </w:rPr>
            </w:pPr>
          </w:p>
        </w:tc>
      </w:tr>
      <w:tr>
        <w:trPr>
          <w:trHeight w:val="685"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食品及生物资源开发项目</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果蔬加工</w:t>
            </w:r>
          </w:p>
        </w:tc>
        <w:tc>
          <w:tcPr>
            <w:tcW w:w="473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left"/>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开发</w:t>
            </w:r>
            <w:r>
              <w:rPr>
                <w:rFonts w:ascii="Times New Roman" w:hAnsi="Times New Roman" w:eastAsia="仿宋" w:cs="Times New Roman"/>
                <w:color w:val="auto"/>
                <w:sz w:val="21"/>
                <w:szCs w:val="21"/>
                <w:lang w:val="en-US" w:eastAsia="zh-CN"/>
              </w:rPr>
              <w:t>650亩工业用地，配套水、电、路等基础设施，开发食品及生物加工等产业。</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2022-2025</w:t>
            </w:r>
          </w:p>
        </w:tc>
        <w:tc>
          <w:tcPr>
            <w:tcW w:w="9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62000</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62000</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通海县人民政府</w:t>
            </w:r>
          </w:p>
        </w:tc>
        <w:tc>
          <w:tcPr>
            <w:tcW w:w="125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通海县</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hint="eastAsia" w:ascii="Times New Roman" w:hAnsi="Times New Roman" w:eastAsia="仿宋" w:cs="Times New Roman"/>
                <w:color w:val="auto"/>
                <w:sz w:val="21"/>
                <w:szCs w:val="21"/>
                <w:lang w:val="en-US" w:eastAsia="zh-CN"/>
              </w:rPr>
            </w:pPr>
          </w:p>
        </w:tc>
      </w:tr>
    </w:tbl>
    <w:p>
      <w:pPr>
        <w:ind w:firstLine="0" w:firstLineChars="0"/>
      </w:pPr>
    </w:p>
    <w:p>
      <w:pPr>
        <w:widowControl/>
        <w:spacing w:line="240" w:lineRule="auto"/>
        <w:ind w:firstLine="0" w:firstLineChars="0"/>
        <w:jc w:val="left"/>
      </w:pPr>
      <w:r>
        <w:br w:type="page"/>
      </w:r>
    </w:p>
    <w:p>
      <w:pPr>
        <w:pStyle w:val="4"/>
        <w:jc w:val="center"/>
        <w:rPr>
          <w:color w:val="auto"/>
          <w:szCs w:val="22"/>
        </w:rPr>
      </w:pPr>
      <w:bookmarkStart w:id="129" w:name="_Toc31658"/>
      <w:r>
        <w:rPr>
          <w:rFonts w:hint="eastAsia"/>
          <w:color w:val="auto"/>
          <w:szCs w:val="22"/>
        </w:rPr>
        <w:t>附表</w:t>
      </w:r>
      <w:r>
        <w:rPr>
          <w:color w:val="auto"/>
          <w:szCs w:val="22"/>
        </w:rPr>
        <w:t>4</w:t>
      </w:r>
      <w:r>
        <w:rPr>
          <w:rFonts w:hint="eastAsia"/>
          <w:color w:val="auto"/>
          <w:szCs w:val="22"/>
        </w:rPr>
        <w:t xml:space="preserve">  玉溪市“十四五”绿色食品制造业需要国家、省支持的项目清单</w:t>
      </w:r>
      <w:bookmarkEnd w:id="129"/>
    </w:p>
    <w:tbl>
      <w:tblPr>
        <w:tblStyle w:val="21"/>
        <w:tblW w:w="14206" w:type="dxa"/>
        <w:tblInd w:w="0" w:type="dxa"/>
        <w:tblLayout w:type="fixed"/>
        <w:tblCellMar>
          <w:top w:w="0" w:type="dxa"/>
          <w:left w:w="108" w:type="dxa"/>
          <w:bottom w:w="0" w:type="dxa"/>
          <w:right w:w="108" w:type="dxa"/>
        </w:tblCellMar>
      </w:tblPr>
      <w:tblGrid>
        <w:gridCol w:w="466"/>
        <w:gridCol w:w="1932"/>
        <w:gridCol w:w="912"/>
        <w:gridCol w:w="4596"/>
        <w:gridCol w:w="1179"/>
        <w:gridCol w:w="1050"/>
        <w:gridCol w:w="1307"/>
        <w:gridCol w:w="1061"/>
        <w:gridCol w:w="1114"/>
        <w:gridCol w:w="589"/>
      </w:tblGrid>
      <w:tr>
        <w:tblPrEx>
          <w:tblCellMar>
            <w:top w:w="0" w:type="dxa"/>
            <w:left w:w="108" w:type="dxa"/>
            <w:bottom w:w="0" w:type="dxa"/>
            <w:right w:w="108" w:type="dxa"/>
          </w:tblCellMar>
        </w:tblPrEx>
        <w:trPr>
          <w:trHeight w:val="760" w:hRule="atLeast"/>
          <w:tblHeader/>
        </w:trPr>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r>
              <w:rPr>
                <w:rFonts w:ascii="Times New Roman" w:hAnsi="Times New Roman" w:eastAsia="仿宋" w:cs="Times New Roman"/>
                <w:b/>
                <w:bCs/>
                <w:color w:val="auto"/>
                <w:sz w:val="21"/>
                <w:szCs w:val="21"/>
                <w:lang w:val="en-US" w:eastAsia="zh-CN"/>
              </w:rPr>
              <w:t>序号</w:t>
            </w:r>
          </w:p>
        </w:tc>
        <w:tc>
          <w:tcPr>
            <w:tcW w:w="19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r>
              <w:rPr>
                <w:rFonts w:ascii="Times New Roman" w:hAnsi="Times New Roman" w:eastAsia="仿宋" w:cs="Times New Roman"/>
                <w:b/>
                <w:bCs/>
                <w:color w:val="auto"/>
                <w:sz w:val="21"/>
                <w:szCs w:val="21"/>
                <w:lang w:val="en-US" w:eastAsia="zh-CN"/>
              </w:rPr>
              <w:t>项目名称</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r>
              <w:rPr>
                <w:rFonts w:ascii="Times New Roman" w:hAnsi="Times New Roman" w:eastAsia="仿宋" w:cs="Times New Roman"/>
                <w:b/>
                <w:bCs/>
                <w:color w:val="auto"/>
                <w:sz w:val="21"/>
                <w:szCs w:val="21"/>
                <w:lang w:val="en-US" w:eastAsia="zh-CN"/>
              </w:rPr>
              <w:t>类别</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r>
              <w:rPr>
                <w:rFonts w:ascii="Times New Roman" w:hAnsi="Times New Roman" w:eastAsia="仿宋" w:cs="Times New Roman"/>
                <w:b/>
                <w:bCs/>
                <w:color w:val="auto"/>
                <w:sz w:val="21"/>
                <w:szCs w:val="21"/>
                <w:lang w:val="en-US" w:eastAsia="zh-CN"/>
              </w:rPr>
              <w:t>建设内容及规模</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r>
              <w:rPr>
                <w:rFonts w:ascii="Times New Roman" w:hAnsi="Times New Roman" w:eastAsia="仿宋" w:cs="Times New Roman"/>
                <w:b/>
                <w:bCs/>
                <w:color w:val="auto"/>
                <w:sz w:val="21"/>
                <w:szCs w:val="21"/>
                <w:lang w:val="en-US" w:eastAsia="zh-CN"/>
              </w:rPr>
              <w:t>建设年限</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r>
              <w:rPr>
                <w:rFonts w:ascii="Times New Roman" w:hAnsi="Times New Roman" w:eastAsia="仿宋" w:cs="Times New Roman"/>
                <w:b/>
                <w:bCs/>
                <w:color w:val="auto"/>
                <w:sz w:val="21"/>
                <w:szCs w:val="21"/>
                <w:lang w:val="en-US" w:eastAsia="zh-CN"/>
              </w:rPr>
              <w:t>总投资（万元）</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r>
              <w:rPr>
                <w:rFonts w:ascii="Times New Roman" w:hAnsi="Times New Roman" w:eastAsia="仿宋" w:cs="Times New Roman"/>
                <w:b/>
                <w:bCs/>
                <w:color w:val="auto"/>
                <w:sz w:val="21"/>
                <w:szCs w:val="21"/>
                <w:lang w:val="en-US" w:eastAsia="zh-CN"/>
              </w:rPr>
              <w:t>“十四五”计划完成投资</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r>
              <w:rPr>
                <w:rFonts w:ascii="Times New Roman" w:hAnsi="Times New Roman" w:eastAsia="仿宋" w:cs="Times New Roman"/>
                <w:b/>
                <w:bCs/>
                <w:color w:val="auto"/>
                <w:sz w:val="21"/>
                <w:szCs w:val="21"/>
                <w:lang w:val="en-US" w:eastAsia="zh-CN"/>
              </w:rPr>
              <w:t>责任单位</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r>
              <w:rPr>
                <w:rFonts w:ascii="Times New Roman" w:hAnsi="Times New Roman" w:eastAsia="仿宋" w:cs="Times New Roman"/>
                <w:b/>
                <w:bCs/>
                <w:color w:val="auto"/>
                <w:sz w:val="21"/>
                <w:szCs w:val="21"/>
                <w:lang w:val="en-US" w:eastAsia="zh-CN"/>
              </w:rPr>
              <w:t>项目所在县（市、区）</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r>
              <w:rPr>
                <w:rFonts w:hint="eastAsia" w:ascii="Times New Roman" w:hAnsi="Times New Roman" w:eastAsia="仿宋" w:cs="Times New Roman"/>
                <w:b/>
                <w:bCs/>
                <w:color w:val="auto"/>
                <w:sz w:val="21"/>
                <w:szCs w:val="21"/>
                <w:lang w:val="en-US" w:eastAsia="zh-CN"/>
              </w:rPr>
              <w:t>备注</w:t>
            </w:r>
          </w:p>
        </w:tc>
      </w:tr>
      <w:tr>
        <w:tblPrEx>
          <w:tblCellMar>
            <w:top w:w="0" w:type="dxa"/>
            <w:left w:w="108" w:type="dxa"/>
            <w:bottom w:w="0" w:type="dxa"/>
            <w:right w:w="108" w:type="dxa"/>
          </w:tblCellMar>
        </w:tblPrEx>
        <w:trPr>
          <w:trHeight w:val="375"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p>
        </w:tc>
        <w:tc>
          <w:tcPr>
            <w:tcW w:w="19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r>
              <w:rPr>
                <w:rFonts w:hint="eastAsia" w:ascii="Times New Roman" w:hAnsi="Times New Roman" w:eastAsia="仿宋" w:cs="Times New Roman"/>
                <w:b/>
                <w:bCs/>
                <w:color w:val="auto"/>
                <w:sz w:val="21"/>
                <w:szCs w:val="21"/>
                <w:lang w:val="en-US" w:eastAsia="zh-CN"/>
              </w:rPr>
              <w:t>合计（15</w:t>
            </w:r>
            <w:r>
              <w:rPr>
                <w:rFonts w:ascii="Times New Roman" w:hAnsi="Times New Roman" w:eastAsia="仿宋" w:cs="Times New Roman"/>
                <w:b/>
                <w:bCs/>
                <w:color w:val="auto"/>
                <w:sz w:val="21"/>
                <w:szCs w:val="21"/>
                <w:lang w:val="en-US" w:eastAsia="zh-CN"/>
              </w:rPr>
              <w:t>项）</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left"/>
              <w:rPr>
                <w:rFonts w:ascii="Times New Roman" w:hAnsi="Times New Roman" w:eastAsia="仿宋" w:cs="Times New Roman"/>
                <w:b/>
                <w:bCs/>
                <w:color w:val="auto"/>
                <w:sz w:val="21"/>
                <w:szCs w:val="21"/>
                <w:lang w:val="en-US" w:eastAsia="zh-CN"/>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r>
              <w:rPr>
                <w:rFonts w:hint="eastAsia" w:ascii="Times New Roman" w:hAnsi="Times New Roman" w:eastAsia="仿宋" w:cs="Times New Roman"/>
                <w:b/>
                <w:bCs/>
                <w:color w:val="auto"/>
                <w:sz w:val="21"/>
                <w:szCs w:val="21"/>
                <w:lang w:val="en-US" w:eastAsia="zh-CN"/>
              </w:rPr>
              <w:t>623979</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r>
              <w:rPr>
                <w:rFonts w:hint="eastAsia" w:ascii="Times New Roman" w:hAnsi="Times New Roman" w:eastAsia="仿宋" w:cs="Times New Roman"/>
                <w:b/>
                <w:bCs/>
                <w:color w:val="auto"/>
                <w:sz w:val="21"/>
                <w:szCs w:val="21"/>
                <w:lang w:val="en-US" w:eastAsia="zh-CN"/>
              </w:rPr>
              <w:t>463979</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b/>
                <w:bCs/>
                <w:color w:val="auto"/>
                <w:sz w:val="21"/>
                <w:szCs w:val="21"/>
                <w:lang w:val="en-US" w:eastAsia="zh-CN"/>
              </w:rPr>
            </w:pPr>
          </w:p>
        </w:tc>
      </w:tr>
      <w:tr>
        <w:tblPrEx>
          <w:tblCellMar>
            <w:top w:w="0" w:type="dxa"/>
            <w:left w:w="108" w:type="dxa"/>
            <w:bottom w:w="0" w:type="dxa"/>
            <w:right w:w="108" w:type="dxa"/>
          </w:tblCellMar>
        </w:tblPrEx>
        <w:trPr>
          <w:trHeight w:val="1201"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w:t>
            </w:r>
          </w:p>
        </w:tc>
        <w:tc>
          <w:tcPr>
            <w:tcW w:w="19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云南滇雪粮油有限公司智能化控制年加工</w:t>
            </w:r>
            <w:r>
              <w:rPr>
                <w:rFonts w:ascii="Times New Roman" w:hAnsi="Times New Roman" w:eastAsia="仿宋" w:cs="Times New Roman"/>
                <w:color w:val="auto"/>
                <w:sz w:val="21"/>
                <w:szCs w:val="21"/>
                <w:lang w:val="en-US" w:eastAsia="zh-CN"/>
              </w:rPr>
              <w:t>15万吨食用油生产项目</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粮油制品</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left"/>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规划建设智能化控制</w:t>
            </w:r>
            <w:r>
              <w:rPr>
                <w:rFonts w:ascii="Times New Roman" w:hAnsi="Times New Roman" w:eastAsia="仿宋" w:cs="Times New Roman"/>
                <w:color w:val="auto"/>
                <w:sz w:val="21"/>
                <w:szCs w:val="21"/>
                <w:lang w:val="en-US" w:eastAsia="zh-CN"/>
              </w:rPr>
              <w:t>450吨/日精炼车间、900吨/日中小包装生产线车间、锅炉房、仓库、污水处理、机械车间、研发中心、产品体验展示中心、办公区、食堂、4万吨储油罐区及其他基础配套设施。</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2021-2025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27253</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27253</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红塔区人民政府</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红塔区</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hint="eastAsia" w:ascii="Times New Roman" w:hAnsi="Times New Roman" w:eastAsia="仿宋" w:cs="Times New Roman"/>
                <w:color w:val="auto"/>
                <w:sz w:val="21"/>
                <w:szCs w:val="21"/>
                <w:lang w:val="en-US" w:eastAsia="zh-CN"/>
              </w:rPr>
            </w:pPr>
          </w:p>
        </w:tc>
      </w:tr>
      <w:tr>
        <w:trPr>
          <w:trHeight w:val="665"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w:t>
            </w:r>
          </w:p>
        </w:tc>
        <w:tc>
          <w:tcPr>
            <w:tcW w:w="19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食品及生物资源开发项目</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果蔬加工</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left"/>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开发</w:t>
            </w:r>
            <w:r>
              <w:rPr>
                <w:rFonts w:ascii="Times New Roman" w:hAnsi="Times New Roman" w:eastAsia="仿宋" w:cs="Times New Roman"/>
                <w:color w:val="auto"/>
                <w:sz w:val="21"/>
                <w:szCs w:val="21"/>
                <w:lang w:val="en-US" w:eastAsia="zh-CN"/>
              </w:rPr>
              <w:t>650亩工业用地，配套水、电、路等基础设施，开发食品及生物加工等产业。</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2022-2025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62000</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62000</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通海县人民政府</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通海县</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hint="eastAsia" w:ascii="Times New Roman" w:hAnsi="Times New Roman" w:eastAsia="仿宋" w:cs="Times New Roman"/>
                <w:color w:val="auto"/>
                <w:sz w:val="21"/>
                <w:szCs w:val="21"/>
                <w:lang w:val="en-US" w:eastAsia="zh-CN"/>
              </w:rPr>
            </w:pPr>
          </w:p>
        </w:tc>
      </w:tr>
      <w:tr>
        <w:tblPrEx>
          <w:tblCellMar>
            <w:top w:w="0" w:type="dxa"/>
            <w:left w:w="108" w:type="dxa"/>
            <w:bottom w:w="0" w:type="dxa"/>
            <w:right w:w="108" w:type="dxa"/>
          </w:tblCellMar>
        </w:tblPrEx>
        <w:trPr>
          <w:trHeight w:val="245"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3</w:t>
            </w:r>
          </w:p>
        </w:tc>
        <w:tc>
          <w:tcPr>
            <w:tcW w:w="19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云南新平南恩糖纸有限责任公司搬迁改造转型升级项目</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烘焙食品与糖果制造</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left"/>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建设日处理甘蔗</w:t>
            </w:r>
            <w:r>
              <w:rPr>
                <w:rFonts w:ascii="Times New Roman" w:hAnsi="Times New Roman" w:eastAsia="仿宋" w:cs="Times New Roman"/>
                <w:color w:val="auto"/>
                <w:sz w:val="21"/>
                <w:szCs w:val="21"/>
                <w:lang w:val="en-US" w:eastAsia="zh-CN"/>
              </w:rPr>
              <w:t>3500吨、日产酒精2.7万升、年产纸浆10.2万吨、年产生活用纸10.2万吨生产线各一条。</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2022-2025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120666</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120666</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新平县人民政府</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新平县</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hint="eastAsia" w:ascii="Times New Roman" w:hAnsi="Times New Roman" w:eastAsia="仿宋" w:cs="Times New Roman"/>
                <w:color w:val="auto"/>
                <w:sz w:val="21"/>
                <w:szCs w:val="21"/>
                <w:lang w:val="en-US" w:eastAsia="zh-CN"/>
              </w:rPr>
            </w:pPr>
          </w:p>
        </w:tc>
      </w:tr>
      <w:tr>
        <w:tblPrEx>
          <w:tblCellMar>
            <w:top w:w="0" w:type="dxa"/>
            <w:left w:w="108" w:type="dxa"/>
            <w:bottom w:w="0" w:type="dxa"/>
            <w:right w:w="108" w:type="dxa"/>
          </w:tblCellMar>
        </w:tblPrEx>
        <w:trPr>
          <w:trHeight w:val="1365"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4</w:t>
            </w:r>
          </w:p>
        </w:tc>
        <w:tc>
          <w:tcPr>
            <w:tcW w:w="19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元江县精品糖果及药用蔗糖精深加工项目</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烘焙食品与糖果制造</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left"/>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项目用地面积</w:t>
            </w:r>
            <w:r>
              <w:rPr>
                <w:rFonts w:ascii="Times New Roman" w:hAnsi="Times New Roman" w:eastAsia="仿宋" w:cs="Times New Roman"/>
                <w:color w:val="auto"/>
                <w:sz w:val="21"/>
                <w:szCs w:val="21"/>
                <w:lang w:val="en-US" w:eastAsia="zh-CN"/>
              </w:rPr>
              <w:t>100亩。拟建设年产15000吨精品糖果生产线、年产15000吨药用蔗糖生产线。主要建设生产系统（生产车间）、辅助生产系统及相关设备设施，并建设原料库房、成品库房、冷库、供配电站、泵房、锅炉房、机修车间、消毒室等辅助生产系统及办公、研发检测、绿化、道路、环保等公共基础配套工程系统。</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2024-2027</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20000</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10000</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元江县人民政府</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元江县</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hint="eastAsia" w:ascii="Times New Roman" w:hAnsi="Times New Roman" w:eastAsia="仿宋" w:cs="Times New Roman"/>
                <w:color w:val="auto"/>
                <w:sz w:val="21"/>
                <w:szCs w:val="21"/>
                <w:lang w:val="en-US" w:eastAsia="zh-CN"/>
              </w:rPr>
            </w:pPr>
          </w:p>
        </w:tc>
      </w:tr>
      <w:tr>
        <w:tblPrEx>
          <w:tblCellMar>
            <w:top w:w="0" w:type="dxa"/>
            <w:left w:w="108" w:type="dxa"/>
            <w:bottom w:w="0" w:type="dxa"/>
            <w:right w:w="108" w:type="dxa"/>
          </w:tblCellMar>
        </w:tblPrEx>
        <w:trPr>
          <w:trHeight w:val="977"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5</w:t>
            </w:r>
          </w:p>
        </w:tc>
        <w:tc>
          <w:tcPr>
            <w:tcW w:w="19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元江县风味果酒及保健酒酿造生产项目</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酒及饮料制造</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left"/>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拟建设年产</w:t>
            </w:r>
            <w:r>
              <w:rPr>
                <w:rFonts w:ascii="Times New Roman" w:hAnsi="Times New Roman" w:eastAsia="仿宋" w:cs="Times New Roman"/>
                <w:color w:val="auto"/>
                <w:sz w:val="21"/>
                <w:szCs w:val="21"/>
                <w:lang w:val="en-US" w:eastAsia="zh-CN"/>
              </w:rPr>
              <w:t>10000吨风味果酒生产线、年产10000吨保健酒酿造生产线，办公楼及配套设施等。</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2024-2026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10000</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6000</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元江县人民政府</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元江县</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hint="eastAsia" w:ascii="Times New Roman" w:hAnsi="Times New Roman" w:eastAsia="仿宋" w:cs="Times New Roman"/>
                <w:color w:val="auto"/>
                <w:sz w:val="21"/>
                <w:szCs w:val="21"/>
                <w:lang w:val="en-US" w:eastAsia="zh-CN"/>
              </w:rPr>
            </w:pPr>
          </w:p>
        </w:tc>
      </w:tr>
      <w:tr>
        <w:trPr>
          <w:trHeight w:val="622"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6</w:t>
            </w:r>
          </w:p>
        </w:tc>
        <w:tc>
          <w:tcPr>
            <w:tcW w:w="19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元江县年产</w:t>
            </w:r>
            <w:r>
              <w:rPr>
                <w:rFonts w:ascii="Times New Roman" w:hAnsi="Times New Roman" w:eastAsia="仿宋" w:cs="Times New Roman"/>
                <w:color w:val="auto"/>
                <w:sz w:val="21"/>
                <w:szCs w:val="21"/>
                <w:lang w:val="en-US" w:eastAsia="zh-CN"/>
              </w:rPr>
              <w:t>20万吨啤酒生产线项目</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酒及饮料制造</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left"/>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建设生产区、生产辅助区、成品仓储区、原料仓储区、公共服务区五大板块，占地面积</w:t>
            </w:r>
            <w:r>
              <w:rPr>
                <w:rFonts w:ascii="Times New Roman" w:hAnsi="Times New Roman" w:eastAsia="仿宋" w:cs="Times New Roman"/>
                <w:color w:val="auto"/>
                <w:sz w:val="21"/>
                <w:szCs w:val="21"/>
                <w:lang w:val="en-US" w:eastAsia="zh-CN"/>
              </w:rPr>
              <w:t>100亩。</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2024-2026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30000</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20000</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元江县人民政府</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元江县</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hint="eastAsia" w:ascii="Times New Roman" w:hAnsi="Times New Roman" w:eastAsia="仿宋" w:cs="Times New Roman"/>
                <w:color w:val="auto"/>
                <w:sz w:val="21"/>
                <w:szCs w:val="21"/>
                <w:lang w:val="en-US" w:eastAsia="zh-CN"/>
              </w:rPr>
            </w:pPr>
          </w:p>
        </w:tc>
      </w:tr>
      <w:tr>
        <w:tblPrEx>
          <w:tblCellMar>
            <w:top w:w="0" w:type="dxa"/>
            <w:left w:w="108" w:type="dxa"/>
            <w:bottom w:w="0" w:type="dxa"/>
            <w:right w:w="108" w:type="dxa"/>
          </w:tblCellMar>
        </w:tblPrEx>
        <w:trPr>
          <w:trHeight w:val="1347"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7</w:t>
            </w:r>
          </w:p>
        </w:tc>
        <w:tc>
          <w:tcPr>
            <w:tcW w:w="19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云南宏斌绿色食品集团有限公司发酵蔬菜加工关键共性技术研究与产业化示范项目</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酱菜调味品与食品</w:t>
            </w:r>
            <w:r>
              <w:rPr>
                <w:rFonts w:hint="eastAsia" w:ascii="Times New Roman" w:hAnsi="Times New Roman" w:eastAsia="仿宋" w:cs="Times New Roman"/>
                <w:color w:val="auto"/>
                <w:sz w:val="21"/>
                <w:szCs w:val="21"/>
                <w:lang w:val="en-US" w:eastAsia="zh-CN"/>
              </w:rPr>
              <w:br w:type="textWrapping"/>
            </w:r>
            <w:r>
              <w:rPr>
                <w:rFonts w:hint="eastAsia" w:ascii="Times New Roman" w:hAnsi="Times New Roman" w:eastAsia="仿宋" w:cs="Times New Roman"/>
                <w:color w:val="auto"/>
                <w:sz w:val="21"/>
                <w:szCs w:val="21"/>
                <w:lang w:val="en-US" w:eastAsia="zh-CN"/>
              </w:rPr>
              <w:t>添加剂</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left"/>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构建产地、贮运发酵蔬菜原材料处理体系；建成云南自有蔬菜发酵菌种库，建设全国第一的小米辣、黄姜专用发酵菌种分库；建立国内先进水平的发酵工艺精准控制生产技术体系；研发系列发酵蔬菜产品。</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2022-2024</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6060</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6060</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江川区人民政府</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江川区</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hint="eastAsia" w:ascii="Times New Roman" w:hAnsi="Times New Roman" w:eastAsia="仿宋" w:cs="Times New Roman"/>
                <w:color w:val="auto"/>
                <w:sz w:val="21"/>
                <w:szCs w:val="21"/>
                <w:lang w:val="en-US" w:eastAsia="zh-CN"/>
              </w:rPr>
            </w:pPr>
          </w:p>
        </w:tc>
      </w:tr>
      <w:tr>
        <w:tblPrEx>
          <w:tblCellMar>
            <w:top w:w="0" w:type="dxa"/>
            <w:left w:w="108" w:type="dxa"/>
            <w:bottom w:w="0" w:type="dxa"/>
            <w:right w:w="108" w:type="dxa"/>
          </w:tblCellMar>
        </w:tblPrEx>
        <w:trPr>
          <w:trHeight w:val="888"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8</w:t>
            </w:r>
          </w:p>
        </w:tc>
        <w:tc>
          <w:tcPr>
            <w:tcW w:w="19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云南猫哆哩集团食品有限责任公司云南特色农产品深加工产业园建设</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烘焙食品与糖果制造</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left"/>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拟建设一条年产</w:t>
            </w:r>
            <w:r>
              <w:rPr>
                <w:rFonts w:ascii="Times New Roman" w:hAnsi="Times New Roman" w:eastAsia="仿宋" w:cs="Times New Roman"/>
                <w:color w:val="auto"/>
                <w:sz w:val="21"/>
                <w:szCs w:val="21"/>
                <w:lang w:val="en-US" w:eastAsia="zh-CN"/>
              </w:rPr>
              <w:t>12000吨夜草牌特色食品生产线，依托云南特有的林果资源，实现科研价值的最大化并促进云南省特色休闲食品产业的发展。</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2021-2023</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12000</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12000</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高新区管理委员会</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高新区</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hint="eastAsia" w:ascii="Times New Roman" w:hAnsi="Times New Roman" w:eastAsia="仿宋" w:cs="Times New Roman"/>
                <w:color w:val="auto"/>
                <w:sz w:val="21"/>
                <w:szCs w:val="21"/>
                <w:lang w:val="en-US" w:eastAsia="zh-CN"/>
              </w:rPr>
            </w:pPr>
          </w:p>
        </w:tc>
      </w:tr>
      <w:tr>
        <w:tblPrEx>
          <w:tblCellMar>
            <w:top w:w="0" w:type="dxa"/>
            <w:left w:w="108" w:type="dxa"/>
            <w:bottom w:w="0" w:type="dxa"/>
            <w:right w:w="108" w:type="dxa"/>
          </w:tblCellMar>
        </w:tblPrEx>
        <w:trPr>
          <w:trHeight w:val="837"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9</w:t>
            </w:r>
          </w:p>
        </w:tc>
        <w:tc>
          <w:tcPr>
            <w:tcW w:w="19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元江县茉莉花香精、香料精深加工</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烘焙食品与糖果制造</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left"/>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建设内容主要包括：办公楼、产品研发中心、生产车间、原料仓库、产品仓库、生活服务及配套、其他配套设施等，占地面积</w:t>
            </w:r>
            <w:r>
              <w:rPr>
                <w:rFonts w:ascii="Times New Roman" w:hAnsi="Times New Roman" w:eastAsia="仿宋" w:cs="Times New Roman"/>
                <w:color w:val="auto"/>
                <w:sz w:val="21"/>
                <w:szCs w:val="21"/>
                <w:lang w:val="en-US" w:eastAsia="zh-CN"/>
              </w:rPr>
              <w:t>100</w:t>
            </w:r>
            <w:r>
              <w:rPr>
                <w:rFonts w:hint="eastAsia" w:ascii="Times New Roman" w:hAnsi="Times New Roman" w:eastAsia="仿宋" w:cs="Times New Roman"/>
                <w:color w:val="auto"/>
                <w:sz w:val="21"/>
                <w:szCs w:val="21"/>
                <w:lang w:val="en-US" w:eastAsia="zh-CN"/>
              </w:rPr>
              <w:t>亩。</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2022-2025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20000</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20000</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元江县人民政府</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元江县</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hint="eastAsia" w:ascii="Times New Roman" w:hAnsi="Times New Roman" w:eastAsia="仿宋" w:cs="Times New Roman"/>
                <w:color w:val="auto"/>
                <w:sz w:val="21"/>
                <w:szCs w:val="21"/>
                <w:lang w:val="en-US" w:eastAsia="zh-CN"/>
              </w:rPr>
            </w:pPr>
          </w:p>
        </w:tc>
      </w:tr>
      <w:tr>
        <w:trPr>
          <w:trHeight w:val="1987"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10</w:t>
            </w:r>
          </w:p>
        </w:tc>
        <w:tc>
          <w:tcPr>
            <w:tcW w:w="19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元江县柑橘皮产业化精深加工项目</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果蔬加工</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left"/>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用地面积</w:t>
            </w:r>
            <w:r>
              <w:rPr>
                <w:rFonts w:ascii="Times New Roman" w:hAnsi="Times New Roman" w:eastAsia="仿宋" w:cs="Times New Roman"/>
                <w:color w:val="auto"/>
                <w:sz w:val="21"/>
                <w:szCs w:val="21"/>
                <w:lang w:val="en-US" w:eastAsia="zh-CN"/>
              </w:rPr>
              <w:t>100亩</w:t>
            </w:r>
            <w:r>
              <w:rPr>
                <w:rFonts w:hint="eastAsia" w:ascii="Times New Roman" w:hAnsi="Times New Roman" w:eastAsia="仿宋" w:cs="Times New Roman"/>
                <w:color w:val="auto"/>
                <w:sz w:val="21"/>
                <w:szCs w:val="21"/>
                <w:lang w:val="en-US" w:eastAsia="zh-CN"/>
              </w:rPr>
              <w:t>，建设</w:t>
            </w:r>
            <w:r>
              <w:rPr>
                <w:rFonts w:ascii="Times New Roman" w:hAnsi="Times New Roman" w:eastAsia="仿宋" w:cs="Times New Roman"/>
                <w:color w:val="auto"/>
                <w:sz w:val="21"/>
                <w:szCs w:val="21"/>
                <w:lang w:val="en-US" w:eastAsia="zh-CN"/>
              </w:rPr>
              <w:t>生产区、辅助生产区及相关设备设施，并建设成品库、原料仓储库、辅料材料库等基础配套工程系统。</w:t>
            </w:r>
            <w:r>
              <w:rPr>
                <w:rFonts w:hint="eastAsia" w:ascii="Times New Roman" w:hAnsi="Times New Roman" w:eastAsia="仿宋" w:cs="Times New Roman"/>
                <w:color w:val="auto"/>
                <w:sz w:val="21"/>
                <w:szCs w:val="21"/>
                <w:lang w:val="en-US" w:eastAsia="zh-CN"/>
              </w:rPr>
              <w:t>建成</w:t>
            </w:r>
            <w:r>
              <w:rPr>
                <w:rFonts w:ascii="Times New Roman" w:hAnsi="Times New Roman" w:eastAsia="仿宋" w:cs="Times New Roman"/>
                <w:color w:val="auto"/>
                <w:sz w:val="21"/>
                <w:szCs w:val="21"/>
                <w:lang w:val="en-US" w:eastAsia="zh-CN"/>
              </w:rPr>
              <w:t>年产柑橘果胶4000吨生产线、年产橙皮苷（类黄酮）4000吨生产线、年产橘皮香料精油5000吨、年产膳食纤维10000吨生产线、年产皮渣蛋白饲料15000吨生产线及橘皮休闲食品生产线。</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2024-2027</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16000</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8000</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元江县人民政府</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元江县</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hint="eastAsia" w:ascii="Times New Roman" w:hAnsi="Times New Roman" w:eastAsia="仿宋" w:cs="Times New Roman"/>
                <w:color w:val="auto"/>
                <w:sz w:val="21"/>
                <w:szCs w:val="21"/>
                <w:lang w:val="en-US" w:eastAsia="zh-CN"/>
              </w:rPr>
            </w:pPr>
          </w:p>
        </w:tc>
      </w:tr>
      <w:tr>
        <w:tblPrEx>
          <w:tblCellMar>
            <w:top w:w="0" w:type="dxa"/>
            <w:left w:w="108" w:type="dxa"/>
            <w:bottom w:w="0" w:type="dxa"/>
            <w:right w:w="108" w:type="dxa"/>
          </w:tblCellMar>
        </w:tblPrEx>
        <w:trPr>
          <w:trHeight w:val="90"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11</w:t>
            </w:r>
          </w:p>
        </w:tc>
        <w:tc>
          <w:tcPr>
            <w:tcW w:w="19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元江县果汁系列饮料及休闲（果脯）绿色食品制造项目</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果蔬加工</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left"/>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项目拟占地</w:t>
            </w:r>
            <w:r>
              <w:rPr>
                <w:rFonts w:ascii="Times New Roman" w:hAnsi="Times New Roman" w:eastAsia="仿宋" w:cs="Times New Roman"/>
                <w:color w:val="auto"/>
                <w:sz w:val="21"/>
                <w:szCs w:val="21"/>
                <w:lang w:val="en-US" w:eastAsia="zh-CN"/>
              </w:rPr>
              <w:t xml:space="preserve"> 100 亩， 主要建设内容包括主要生产系统（生产车间）、辅助生产系统及相关设备设施（高效榨汁技术、高温短时杀菌技术、无菌包装技术、酶液化与澄清技术、膜技术等），以及公共基础配套工程系统。</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2024-2026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15000</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7000</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元江县人民政府</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元江县</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hint="eastAsia" w:ascii="Times New Roman" w:hAnsi="Times New Roman" w:eastAsia="仿宋" w:cs="Times New Roman"/>
                <w:color w:val="auto"/>
                <w:sz w:val="21"/>
                <w:szCs w:val="21"/>
                <w:lang w:val="en-US" w:eastAsia="zh-CN"/>
              </w:rPr>
            </w:pPr>
          </w:p>
        </w:tc>
      </w:tr>
      <w:tr>
        <w:tblPrEx>
          <w:tblCellMar>
            <w:top w:w="0" w:type="dxa"/>
            <w:left w:w="108" w:type="dxa"/>
            <w:bottom w:w="0" w:type="dxa"/>
            <w:right w:w="108" w:type="dxa"/>
          </w:tblCellMar>
        </w:tblPrEx>
        <w:trPr>
          <w:trHeight w:val="968"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12</w:t>
            </w:r>
          </w:p>
        </w:tc>
        <w:tc>
          <w:tcPr>
            <w:tcW w:w="19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元江县热带水果精深加工产业园建设项目</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果蔬加工</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left"/>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项目占地面积</w:t>
            </w:r>
            <w:r>
              <w:rPr>
                <w:rFonts w:ascii="Times New Roman" w:hAnsi="Times New Roman" w:eastAsia="仿宋" w:cs="Times New Roman"/>
                <w:color w:val="auto"/>
                <w:sz w:val="21"/>
                <w:szCs w:val="21"/>
                <w:lang w:val="en-US" w:eastAsia="zh-CN"/>
              </w:rPr>
              <w:t>1000亩，建设生物资源总部经济区（研发设计）、农特生物制品生产区（生产加工）、农特生物制品“Mall商城”（特色商贸）、生物特色产品文化展示中心、配套服务区五大功能片区，形成集研发、生产、贸易、文化展示于一体的综合型产业“园中园”。</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2024-2028</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200000</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80000</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元江县人民政府</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元江县</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hint="eastAsia" w:ascii="Times New Roman" w:hAnsi="Times New Roman" w:eastAsia="仿宋" w:cs="Times New Roman"/>
                <w:color w:val="auto"/>
                <w:sz w:val="21"/>
                <w:szCs w:val="21"/>
                <w:lang w:val="en-US" w:eastAsia="zh-CN"/>
              </w:rPr>
            </w:pPr>
          </w:p>
        </w:tc>
      </w:tr>
      <w:tr>
        <w:tblPrEx>
          <w:tblCellMar>
            <w:top w:w="0" w:type="dxa"/>
            <w:left w:w="108" w:type="dxa"/>
            <w:bottom w:w="0" w:type="dxa"/>
            <w:right w:w="108" w:type="dxa"/>
          </w:tblCellMar>
        </w:tblPrEx>
        <w:trPr>
          <w:trHeight w:val="245"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1</w:t>
            </w:r>
            <w:r>
              <w:rPr>
                <w:rFonts w:ascii="Times New Roman" w:hAnsi="Times New Roman" w:eastAsia="仿宋" w:cs="Times New Roman"/>
                <w:color w:val="auto"/>
                <w:sz w:val="21"/>
                <w:szCs w:val="21"/>
                <w:lang w:val="en-US" w:eastAsia="zh-CN"/>
              </w:rPr>
              <w:t>3</w:t>
            </w:r>
          </w:p>
        </w:tc>
        <w:tc>
          <w:tcPr>
            <w:tcW w:w="19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宇培澄江电商冷链产业园项目</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相关产业</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left"/>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计划用地</w:t>
            </w:r>
            <w:r>
              <w:rPr>
                <w:rFonts w:ascii="Times New Roman" w:hAnsi="Times New Roman" w:eastAsia="仿宋" w:cs="Times New Roman"/>
                <w:color w:val="auto"/>
                <w:sz w:val="21"/>
                <w:szCs w:val="21"/>
                <w:lang w:val="en-US" w:eastAsia="zh-CN"/>
              </w:rPr>
              <w:t>400亩，拟投资7.5亿元，主要建设仓储、物流、冷链等配套设施，该项目规划为宇培电商、宇培供应链在云南区域的运营总部，经销进口农副产品、生鲜冷冻、进口牛羊肉等产品进行跨境电商国际贸易。</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2023-2025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75000</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75000</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澄江市人民政府</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澄江市</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hint="eastAsia" w:ascii="Times New Roman" w:hAnsi="Times New Roman" w:eastAsia="仿宋" w:cs="Times New Roman"/>
                <w:color w:val="auto"/>
                <w:sz w:val="21"/>
                <w:szCs w:val="21"/>
                <w:lang w:val="en-US" w:eastAsia="zh-CN"/>
              </w:rPr>
            </w:pPr>
          </w:p>
        </w:tc>
      </w:tr>
      <w:tr>
        <w:trPr>
          <w:trHeight w:val="365"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14</w:t>
            </w:r>
          </w:p>
        </w:tc>
        <w:tc>
          <w:tcPr>
            <w:tcW w:w="19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云南世吉农业发展有限公司滇中特色农副产品冷链储运中心6万吨/年保鲜蔬菜冷链物流项目</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相关产业</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left"/>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项目占地</w:t>
            </w:r>
            <w:r>
              <w:rPr>
                <w:rFonts w:ascii="Times New Roman" w:hAnsi="Times New Roman" w:eastAsia="仿宋" w:cs="Times New Roman"/>
                <w:color w:val="auto"/>
                <w:sz w:val="21"/>
                <w:szCs w:val="21"/>
                <w:lang w:val="en-US" w:eastAsia="zh-CN"/>
              </w:rPr>
              <w:t>42亩，建筑面积26000平方米，主要建设33座冷库，1栋综合办公楼，1个加工车间，2座仓库，1个蔬菜交易区，1个脱水车间及其他配套设施。</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2021-2023</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10000</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10000</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江川区人民政府</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江川区</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hint="eastAsia" w:ascii="Times New Roman" w:hAnsi="Times New Roman" w:eastAsia="仿宋" w:cs="Times New Roman"/>
                <w:color w:val="auto"/>
                <w:sz w:val="21"/>
                <w:szCs w:val="21"/>
                <w:lang w:val="en-US" w:eastAsia="zh-CN"/>
              </w:rPr>
            </w:pPr>
          </w:p>
        </w:tc>
      </w:tr>
      <w:tr>
        <w:tblPrEx>
          <w:tblCellMar>
            <w:top w:w="0" w:type="dxa"/>
            <w:left w:w="108" w:type="dxa"/>
            <w:bottom w:w="0" w:type="dxa"/>
            <w:right w:w="108" w:type="dxa"/>
          </w:tblCellMar>
        </w:tblPrEx>
        <w:trPr>
          <w:trHeight w:val="625"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1</w:t>
            </w:r>
            <w:r>
              <w:rPr>
                <w:rFonts w:hint="eastAsia" w:ascii="Times New Roman" w:hAnsi="Times New Roman" w:eastAsia="仿宋" w:cs="Times New Roman"/>
                <w:color w:val="auto"/>
                <w:sz w:val="21"/>
                <w:szCs w:val="21"/>
                <w:lang w:val="en-US" w:eastAsia="zh-CN"/>
              </w:rPr>
              <w:t>5</w:t>
            </w:r>
          </w:p>
        </w:tc>
        <w:tc>
          <w:tcPr>
            <w:tcW w:w="19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正大集团项目</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相关产业</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left"/>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在通海曲陀关片区投资建设玉溪果蔬产后处理与精深加工中心，打造全国一流的规模化、标准化示范基地。</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ascii="Times New Roman" w:hAnsi="Times New Roman" w:eastAsia="仿宋" w:cs="Times New Roman"/>
                <w:color w:val="auto"/>
                <w:sz w:val="21"/>
                <w:szCs w:val="21"/>
                <w:lang w:val="en-US" w:eastAsia="zh-CN"/>
              </w:rPr>
              <w:t>2023-2025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通海县人民政府</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通海县</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5"/>
              <w:spacing w:line="280" w:lineRule="exact"/>
              <w:ind w:firstLine="0" w:firstLineChars="0"/>
              <w:jc w:val="center"/>
              <w:rPr>
                <w:rFonts w:hint="eastAsia" w:ascii="Times New Roman" w:hAnsi="Times New Roman" w:eastAsia="仿宋" w:cs="Times New Roman"/>
                <w:color w:val="auto"/>
                <w:sz w:val="21"/>
                <w:szCs w:val="21"/>
                <w:lang w:val="en-US" w:eastAsia="zh-CN"/>
              </w:rPr>
            </w:pPr>
          </w:p>
        </w:tc>
      </w:tr>
    </w:tbl>
    <w:p>
      <w:pPr>
        <w:pStyle w:val="2"/>
        <w:ind w:firstLine="0" w:firstLineChars="0"/>
        <w:jc w:val="both"/>
        <w:rPr>
          <w:rFonts w:hint="eastAsia"/>
        </w:rPr>
      </w:pPr>
    </w:p>
    <w:p>
      <w:pPr>
        <w:pStyle w:val="7"/>
        <w:ind w:left="0" w:leftChars="0" w:firstLine="0" w:firstLineChars="0"/>
        <w:sectPr>
          <w:pgSz w:w="16838" w:h="11906" w:orient="landscape"/>
          <w:pgMar w:top="1803" w:right="1440" w:bottom="1803" w:left="1440" w:header="851" w:footer="992" w:gutter="0"/>
          <w:pgNumType w:fmt="decimal"/>
          <w:cols w:space="0" w:num="1"/>
          <w:docGrid w:type="lines" w:linePitch="436" w:charSpace="0"/>
        </w:sectPr>
      </w:pPr>
    </w:p>
    <w:p>
      <w:pPr>
        <w:pStyle w:val="4"/>
        <w:jc w:val="center"/>
        <w:rPr>
          <w:szCs w:val="22"/>
        </w:rPr>
      </w:pPr>
      <w:bookmarkStart w:id="130" w:name="_Toc25050"/>
      <w:r>
        <w:rPr>
          <w:rFonts w:hint="eastAsia"/>
          <w:szCs w:val="22"/>
        </w:rPr>
        <w:t>附表5  配套政策目录</w:t>
      </w:r>
      <w:bookmarkEnd w:id="130"/>
    </w:p>
    <w:tbl>
      <w:tblPr>
        <w:tblStyle w:val="22"/>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
        <w:gridCol w:w="8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vAlign w:val="center"/>
          </w:tcPr>
          <w:p>
            <w:pPr>
              <w:pStyle w:val="7"/>
              <w:ind w:left="0" w:leftChars="0" w:firstLine="0" w:firstLineChars="0"/>
              <w:jc w:val="center"/>
              <w:rPr>
                <w:b/>
                <w:bCs/>
                <w:sz w:val="28"/>
                <w:szCs w:val="28"/>
              </w:rPr>
            </w:pPr>
            <w:r>
              <w:rPr>
                <w:b/>
                <w:bCs/>
                <w:sz w:val="28"/>
                <w:szCs w:val="28"/>
              </w:rPr>
              <w:t>序号</w:t>
            </w:r>
          </w:p>
        </w:tc>
        <w:tc>
          <w:tcPr>
            <w:tcW w:w="8170" w:type="dxa"/>
            <w:vAlign w:val="center"/>
          </w:tcPr>
          <w:p>
            <w:pPr>
              <w:pStyle w:val="7"/>
              <w:ind w:left="0" w:leftChars="0" w:firstLine="0" w:firstLineChars="0"/>
              <w:jc w:val="center"/>
              <w:rPr>
                <w:b/>
                <w:bCs/>
                <w:sz w:val="28"/>
                <w:szCs w:val="28"/>
              </w:rPr>
            </w:pPr>
            <w:r>
              <w:rPr>
                <w:b/>
                <w:bCs/>
                <w:sz w:val="28"/>
                <w:szCs w:val="28"/>
              </w:rPr>
              <w:t>配套政策名称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vAlign w:val="center"/>
          </w:tcPr>
          <w:p>
            <w:pPr>
              <w:pStyle w:val="7"/>
              <w:ind w:left="0" w:leftChars="0" w:firstLine="0" w:firstLineChars="0"/>
              <w:jc w:val="center"/>
              <w:rPr>
                <w:sz w:val="28"/>
                <w:szCs w:val="28"/>
              </w:rPr>
            </w:pPr>
            <w:r>
              <w:rPr>
                <w:sz w:val="28"/>
                <w:szCs w:val="28"/>
              </w:rPr>
              <w:t>1</w:t>
            </w:r>
          </w:p>
        </w:tc>
        <w:tc>
          <w:tcPr>
            <w:tcW w:w="8170" w:type="dxa"/>
            <w:vAlign w:val="center"/>
          </w:tcPr>
          <w:p>
            <w:pPr>
              <w:pStyle w:val="7"/>
              <w:ind w:left="0" w:leftChars="0" w:firstLine="0" w:firstLineChars="0"/>
              <w:jc w:val="center"/>
              <w:rPr>
                <w:sz w:val="28"/>
                <w:szCs w:val="28"/>
              </w:rPr>
            </w:pPr>
            <w:r>
              <w:rPr>
                <w:sz w:val="28"/>
                <w:szCs w:val="28"/>
              </w:rPr>
              <w:t>《云南省绿色食品“10强企业”和“20佳创新企业”评选管理办法》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vAlign w:val="center"/>
          </w:tcPr>
          <w:p>
            <w:pPr>
              <w:pStyle w:val="7"/>
              <w:ind w:left="0" w:leftChars="0" w:firstLine="0" w:firstLineChars="0"/>
              <w:jc w:val="center"/>
              <w:rPr>
                <w:sz w:val="28"/>
                <w:szCs w:val="28"/>
              </w:rPr>
            </w:pPr>
            <w:r>
              <w:rPr>
                <w:rFonts w:hint="eastAsia"/>
                <w:sz w:val="28"/>
                <w:szCs w:val="28"/>
              </w:rPr>
              <w:t>2</w:t>
            </w:r>
          </w:p>
        </w:tc>
        <w:tc>
          <w:tcPr>
            <w:tcW w:w="8170" w:type="dxa"/>
            <w:vAlign w:val="center"/>
          </w:tcPr>
          <w:p>
            <w:pPr>
              <w:pStyle w:val="7"/>
              <w:ind w:left="0" w:leftChars="0" w:firstLine="0" w:firstLineChars="0"/>
              <w:jc w:val="center"/>
              <w:rPr>
                <w:sz w:val="28"/>
                <w:szCs w:val="28"/>
              </w:rPr>
            </w:pPr>
            <w:r>
              <w:rPr>
                <w:sz w:val="28"/>
                <w:szCs w:val="28"/>
              </w:rPr>
              <w:t>《云</w:t>
            </w:r>
            <w:r>
              <w:rPr>
                <w:color w:val="auto"/>
                <w:sz w:val="28"/>
                <w:szCs w:val="28"/>
              </w:rPr>
              <w:t>南省绿色</w:t>
            </w:r>
            <w:r>
              <w:rPr>
                <w:rFonts w:hint="eastAsia"/>
                <w:color w:val="auto"/>
                <w:sz w:val="28"/>
                <w:szCs w:val="28"/>
              </w:rPr>
              <w:t>食品制造</w:t>
            </w:r>
            <w:r>
              <w:rPr>
                <w:color w:val="auto"/>
                <w:sz w:val="28"/>
                <w:szCs w:val="28"/>
              </w:rPr>
              <w:t>业龙头企业投资项目奖补资金申</w:t>
            </w:r>
            <w:r>
              <w:rPr>
                <w:sz w:val="28"/>
                <w:szCs w:val="28"/>
              </w:rPr>
              <w:t>报指南》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872" w:type="dxa"/>
            <w:vAlign w:val="center"/>
          </w:tcPr>
          <w:p>
            <w:pPr>
              <w:pStyle w:val="7"/>
              <w:ind w:left="0" w:leftChars="0" w:firstLine="0" w:firstLineChars="0"/>
              <w:jc w:val="center"/>
              <w:rPr>
                <w:sz w:val="28"/>
                <w:szCs w:val="28"/>
              </w:rPr>
            </w:pPr>
            <w:r>
              <w:rPr>
                <w:rFonts w:hint="eastAsia"/>
                <w:sz w:val="28"/>
                <w:szCs w:val="28"/>
              </w:rPr>
              <w:t>3</w:t>
            </w:r>
          </w:p>
        </w:tc>
        <w:tc>
          <w:tcPr>
            <w:tcW w:w="8170" w:type="dxa"/>
            <w:vAlign w:val="center"/>
          </w:tcPr>
          <w:p>
            <w:pPr>
              <w:pStyle w:val="7"/>
              <w:ind w:left="0" w:leftChars="0" w:firstLine="0" w:firstLineChars="0"/>
              <w:jc w:val="both"/>
              <w:rPr>
                <w:sz w:val="28"/>
                <w:szCs w:val="28"/>
              </w:rPr>
            </w:pPr>
            <w:r>
              <w:rPr>
                <w:sz w:val="28"/>
                <w:szCs w:val="28"/>
              </w:rPr>
              <w:t>《玉溪市“绿色食品名品”评选管理办法（试行）》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vAlign w:val="center"/>
          </w:tcPr>
          <w:p>
            <w:pPr>
              <w:pStyle w:val="7"/>
              <w:ind w:left="0" w:leftChars="0" w:firstLine="0" w:firstLineChars="0"/>
              <w:jc w:val="center"/>
              <w:rPr>
                <w:sz w:val="28"/>
                <w:szCs w:val="28"/>
              </w:rPr>
            </w:pPr>
            <w:r>
              <w:rPr>
                <w:rFonts w:hint="eastAsia"/>
                <w:sz w:val="28"/>
                <w:szCs w:val="28"/>
              </w:rPr>
              <w:t>4</w:t>
            </w:r>
          </w:p>
        </w:tc>
        <w:tc>
          <w:tcPr>
            <w:tcW w:w="8170" w:type="dxa"/>
            <w:vAlign w:val="center"/>
          </w:tcPr>
          <w:p>
            <w:pPr>
              <w:ind w:left="0" w:leftChars="0" w:firstLine="0" w:firstLineChars="0"/>
              <w:jc w:val="both"/>
              <w:rPr>
                <w:sz w:val="28"/>
                <w:szCs w:val="28"/>
              </w:rPr>
            </w:pPr>
            <w:r>
              <w:rPr>
                <w:sz w:val="28"/>
                <w:szCs w:val="28"/>
              </w:rPr>
              <w:t>《玉溪市绿色食品“重点企业”“创新企业”评选管理办法（试行）》</w:t>
            </w:r>
          </w:p>
        </w:tc>
      </w:tr>
    </w:tbl>
    <w:p>
      <w:pPr>
        <w:pStyle w:val="2"/>
        <w:ind w:firstLine="960"/>
      </w:pPr>
    </w:p>
    <w:p>
      <w:pPr>
        <w:pStyle w:val="7"/>
        <w:ind w:left="2560" w:firstLine="640"/>
      </w:pPr>
    </w:p>
    <w:sectPr>
      <w:pgSz w:w="11906" w:h="16838"/>
      <w:pgMar w:top="1440" w:right="1803" w:bottom="1440" w:left="1803" w:header="851" w:footer="992" w:gutter="0"/>
      <w:pgNumType w:fmt="decimal"/>
      <w:cols w:space="0" w:num="1"/>
      <w:docGrid w:type="lines" w:linePitch="43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方正仿宋_GBK">
    <w:panose1 w:val="02000000000000000000"/>
    <w:charset w:val="86"/>
    <w:family w:val="script"/>
    <w:pitch w:val="default"/>
    <w:sig w:usb0="00000001" w:usb1="0800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a:effectLst/>
                    </wps:spPr>
                    <wps:txbx>
                      <w:txbxContent>
                        <w:p>
                          <w:pPr>
                            <w:pStyle w:val="14"/>
                            <w:ind w:left="0" w:leftChars="0" w:firstLine="0" w:firstLine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38</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lang w:eastAsia="zh-CN"/>
                            </w:rPr>
                            <w:t>—</w:t>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j/2E3xwCAAAnBAAADgAAAAAAAAABACAAAAA1AQAAZHJzL2Uyb0RvYy54bWxQSwUG&#10;AAAAAAYABgBZAQAAwwUAAAAA&#10;">
              <v:fill on="f" focussize="0,0"/>
              <v:stroke on="f" weight="0.5pt"/>
              <v:imagedata o:title=""/>
              <o:lock v:ext="edit" aspectratio="f"/>
              <v:textbox inset="0mm,0mm,0mm,0mm" style="mso-fit-shape-to-text:t;">
                <w:txbxContent>
                  <w:p>
                    <w:pPr>
                      <w:pStyle w:val="14"/>
                      <w:ind w:left="0" w:leftChars="0" w:firstLine="0" w:firstLine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38</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lang w:eastAsia="zh-CN"/>
                      </w:rPr>
                      <w: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1"/>
      </w:pBd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true"/>
  <w:embedTrueTypeFonts/>
  <w:saveSubsetFonts/>
  <w:documentProtection w:enforcement="0"/>
  <w:defaultTabStop w:val="420"/>
  <w:drawingGridVerticalSpacing w:val="218"/>
  <w:noPunctuationKerning w:val="true"/>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7901B5C"/>
    <w:rsid w:val="0001087B"/>
    <w:rsid w:val="00016D10"/>
    <w:rsid w:val="00020776"/>
    <w:rsid w:val="000505C6"/>
    <w:rsid w:val="00073688"/>
    <w:rsid w:val="000960E8"/>
    <w:rsid w:val="000976E4"/>
    <w:rsid w:val="000A0E91"/>
    <w:rsid w:val="000A7BF5"/>
    <w:rsid w:val="000B4706"/>
    <w:rsid w:val="000B4FA8"/>
    <w:rsid w:val="000C0F51"/>
    <w:rsid w:val="000D1A33"/>
    <w:rsid w:val="000D43E5"/>
    <w:rsid w:val="000E2FBE"/>
    <w:rsid w:val="000E54E3"/>
    <w:rsid w:val="000E67B0"/>
    <w:rsid w:val="0012393E"/>
    <w:rsid w:val="001372EE"/>
    <w:rsid w:val="00147366"/>
    <w:rsid w:val="00155DA9"/>
    <w:rsid w:val="00160C39"/>
    <w:rsid w:val="00170E2D"/>
    <w:rsid w:val="0019090F"/>
    <w:rsid w:val="001B00C7"/>
    <w:rsid w:val="001B03EC"/>
    <w:rsid w:val="001B44A9"/>
    <w:rsid w:val="001C0A86"/>
    <w:rsid w:val="001C3F4D"/>
    <w:rsid w:val="001C4B61"/>
    <w:rsid w:val="001D10C6"/>
    <w:rsid w:val="001E6FDA"/>
    <w:rsid w:val="001F08DB"/>
    <w:rsid w:val="001F4A4C"/>
    <w:rsid w:val="001F6164"/>
    <w:rsid w:val="00203807"/>
    <w:rsid w:val="00210A48"/>
    <w:rsid w:val="00214A1E"/>
    <w:rsid w:val="0023574F"/>
    <w:rsid w:val="00245E4E"/>
    <w:rsid w:val="00250813"/>
    <w:rsid w:val="00252D0D"/>
    <w:rsid w:val="00265EC5"/>
    <w:rsid w:val="00271E88"/>
    <w:rsid w:val="00292B23"/>
    <w:rsid w:val="002A2EC6"/>
    <w:rsid w:val="002B1F48"/>
    <w:rsid w:val="002C0292"/>
    <w:rsid w:val="002C64B0"/>
    <w:rsid w:val="002C6B97"/>
    <w:rsid w:val="002D23C7"/>
    <w:rsid w:val="002D66A2"/>
    <w:rsid w:val="002F1F58"/>
    <w:rsid w:val="00314A45"/>
    <w:rsid w:val="00315E7D"/>
    <w:rsid w:val="00321BCF"/>
    <w:rsid w:val="0032209E"/>
    <w:rsid w:val="00334AA3"/>
    <w:rsid w:val="00347EEC"/>
    <w:rsid w:val="00356DA2"/>
    <w:rsid w:val="00365F78"/>
    <w:rsid w:val="00370F4A"/>
    <w:rsid w:val="003910F8"/>
    <w:rsid w:val="003944B8"/>
    <w:rsid w:val="00396C0E"/>
    <w:rsid w:val="003A3F82"/>
    <w:rsid w:val="003A69F9"/>
    <w:rsid w:val="003B4589"/>
    <w:rsid w:val="003B4742"/>
    <w:rsid w:val="003C6934"/>
    <w:rsid w:val="003C7D54"/>
    <w:rsid w:val="003E48B4"/>
    <w:rsid w:val="003E5483"/>
    <w:rsid w:val="003E6DC9"/>
    <w:rsid w:val="003F3BDA"/>
    <w:rsid w:val="004046A0"/>
    <w:rsid w:val="00436A10"/>
    <w:rsid w:val="00441AE0"/>
    <w:rsid w:val="0046335D"/>
    <w:rsid w:val="00476346"/>
    <w:rsid w:val="00476A18"/>
    <w:rsid w:val="0048106B"/>
    <w:rsid w:val="0049251A"/>
    <w:rsid w:val="00495F8B"/>
    <w:rsid w:val="004A040B"/>
    <w:rsid w:val="004A280F"/>
    <w:rsid w:val="004B65C2"/>
    <w:rsid w:val="004D769A"/>
    <w:rsid w:val="004E2DC7"/>
    <w:rsid w:val="004E4875"/>
    <w:rsid w:val="00511E53"/>
    <w:rsid w:val="00511FE7"/>
    <w:rsid w:val="00536B50"/>
    <w:rsid w:val="00541B44"/>
    <w:rsid w:val="00556206"/>
    <w:rsid w:val="00576681"/>
    <w:rsid w:val="0059001A"/>
    <w:rsid w:val="005910C1"/>
    <w:rsid w:val="0059651E"/>
    <w:rsid w:val="005B0072"/>
    <w:rsid w:val="005B1F7D"/>
    <w:rsid w:val="005C5FD7"/>
    <w:rsid w:val="005D46C2"/>
    <w:rsid w:val="005F4666"/>
    <w:rsid w:val="00600AD0"/>
    <w:rsid w:val="00603914"/>
    <w:rsid w:val="00606D81"/>
    <w:rsid w:val="00613A30"/>
    <w:rsid w:val="00616C84"/>
    <w:rsid w:val="006246D1"/>
    <w:rsid w:val="00640BC7"/>
    <w:rsid w:val="00655BBD"/>
    <w:rsid w:val="00666122"/>
    <w:rsid w:val="00671E5F"/>
    <w:rsid w:val="0068101A"/>
    <w:rsid w:val="006B7293"/>
    <w:rsid w:val="006C34A8"/>
    <w:rsid w:val="006F2FBC"/>
    <w:rsid w:val="006F33E9"/>
    <w:rsid w:val="00710C23"/>
    <w:rsid w:val="00726A48"/>
    <w:rsid w:val="00745E74"/>
    <w:rsid w:val="00751773"/>
    <w:rsid w:val="00766612"/>
    <w:rsid w:val="00766CD3"/>
    <w:rsid w:val="00771860"/>
    <w:rsid w:val="007824B6"/>
    <w:rsid w:val="007928BF"/>
    <w:rsid w:val="00793491"/>
    <w:rsid w:val="007A5C3F"/>
    <w:rsid w:val="007C7683"/>
    <w:rsid w:val="007E15F3"/>
    <w:rsid w:val="007F01F8"/>
    <w:rsid w:val="007F69E1"/>
    <w:rsid w:val="00812ED9"/>
    <w:rsid w:val="00833708"/>
    <w:rsid w:val="00843517"/>
    <w:rsid w:val="00845F63"/>
    <w:rsid w:val="00860138"/>
    <w:rsid w:val="008A0C28"/>
    <w:rsid w:val="008C5F93"/>
    <w:rsid w:val="008D4B52"/>
    <w:rsid w:val="008D67F5"/>
    <w:rsid w:val="00911005"/>
    <w:rsid w:val="0092716B"/>
    <w:rsid w:val="00935869"/>
    <w:rsid w:val="00941B2D"/>
    <w:rsid w:val="0094532A"/>
    <w:rsid w:val="009703B0"/>
    <w:rsid w:val="00975045"/>
    <w:rsid w:val="00977A83"/>
    <w:rsid w:val="00991252"/>
    <w:rsid w:val="00992DDB"/>
    <w:rsid w:val="00993992"/>
    <w:rsid w:val="009A57F3"/>
    <w:rsid w:val="009C13DE"/>
    <w:rsid w:val="00A00BA1"/>
    <w:rsid w:val="00A52D69"/>
    <w:rsid w:val="00A66ED4"/>
    <w:rsid w:val="00A85A97"/>
    <w:rsid w:val="00A91846"/>
    <w:rsid w:val="00A93E84"/>
    <w:rsid w:val="00AA4F48"/>
    <w:rsid w:val="00AB1C2D"/>
    <w:rsid w:val="00AC0183"/>
    <w:rsid w:val="00AC5237"/>
    <w:rsid w:val="00AD6E5A"/>
    <w:rsid w:val="00AD7012"/>
    <w:rsid w:val="00AE5058"/>
    <w:rsid w:val="00B110C6"/>
    <w:rsid w:val="00B115C8"/>
    <w:rsid w:val="00B13B55"/>
    <w:rsid w:val="00B22DEF"/>
    <w:rsid w:val="00B316CB"/>
    <w:rsid w:val="00B547F8"/>
    <w:rsid w:val="00B67044"/>
    <w:rsid w:val="00B77CE2"/>
    <w:rsid w:val="00B92C98"/>
    <w:rsid w:val="00B97760"/>
    <w:rsid w:val="00BC46B3"/>
    <w:rsid w:val="00BC58E8"/>
    <w:rsid w:val="00BD6458"/>
    <w:rsid w:val="00BE0162"/>
    <w:rsid w:val="00C028BA"/>
    <w:rsid w:val="00C04DBD"/>
    <w:rsid w:val="00C05C89"/>
    <w:rsid w:val="00C109D1"/>
    <w:rsid w:val="00C13BC1"/>
    <w:rsid w:val="00C16DB9"/>
    <w:rsid w:val="00C17E8E"/>
    <w:rsid w:val="00C30F02"/>
    <w:rsid w:val="00C511B2"/>
    <w:rsid w:val="00C656CB"/>
    <w:rsid w:val="00C7271F"/>
    <w:rsid w:val="00C74457"/>
    <w:rsid w:val="00C7552C"/>
    <w:rsid w:val="00C80FD8"/>
    <w:rsid w:val="00C87451"/>
    <w:rsid w:val="00C9108B"/>
    <w:rsid w:val="00C9566F"/>
    <w:rsid w:val="00CA30FD"/>
    <w:rsid w:val="00CC271D"/>
    <w:rsid w:val="00CC6E40"/>
    <w:rsid w:val="00CD3A9C"/>
    <w:rsid w:val="00CE752D"/>
    <w:rsid w:val="00D071D1"/>
    <w:rsid w:val="00D25C82"/>
    <w:rsid w:val="00D26AC5"/>
    <w:rsid w:val="00D3322F"/>
    <w:rsid w:val="00D46E18"/>
    <w:rsid w:val="00D50307"/>
    <w:rsid w:val="00D555E5"/>
    <w:rsid w:val="00D56BCA"/>
    <w:rsid w:val="00D66D1C"/>
    <w:rsid w:val="00D7025D"/>
    <w:rsid w:val="00D87D07"/>
    <w:rsid w:val="00D93359"/>
    <w:rsid w:val="00D941C8"/>
    <w:rsid w:val="00DA3ED0"/>
    <w:rsid w:val="00DA5C88"/>
    <w:rsid w:val="00DA698E"/>
    <w:rsid w:val="00DB72D7"/>
    <w:rsid w:val="00DC0946"/>
    <w:rsid w:val="00DC0B96"/>
    <w:rsid w:val="00DC0C4A"/>
    <w:rsid w:val="00DC4951"/>
    <w:rsid w:val="00DF2F69"/>
    <w:rsid w:val="00E021EA"/>
    <w:rsid w:val="00E06967"/>
    <w:rsid w:val="00E21EF8"/>
    <w:rsid w:val="00E272CE"/>
    <w:rsid w:val="00E35E45"/>
    <w:rsid w:val="00E418C6"/>
    <w:rsid w:val="00E556C3"/>
    <w:rsid w:val="00E64644"/>
    <w:rsid w:val="00E73821"/>
    <w:rsid w:val="00E771D9"/>
    <w:rsid w:val="00E80BD5"/>
    <w:rsid w:val="00E9718B"/>
    <w:rsid w:val="00EA2329"/>
    <w:rsid w:val="00EA74CD"/>
    <w:rsid w:val="00ED5E72"/>
    <w:rsid w:val="00EE06AC"/>
    <w:rsid w:val="00F07C39"/>
    <w:rsid w:val="00F1517E"/>
    <w:rsid w:val="00F20EB9"/>
    <w:rsid w:val="00F2649C"/>
    <w:rsid w:val="00F41FE1"/>
    <w:rsid w:val="00F453EE"/>
    <w:rsid w:val="00F63AEA"/>
    <w:rsid w:val="00F77CBF"/>
    <w:rsid w:val="00F9653D"/>
    <w:rsid w:val="00F9787B"/>
    <w:rsid w:val="00FA6515"/>
    <w:rsid w:val="00FB042A"/>
    <w:rsid w:val="00FB2D63"/>
    <w:rsid w:val="00FD005D"/>
    <w:rsid w:val="00FD5C2D"/>
    <w:rsid w:val="00FD7410"/>
    <w:rsid w:val="00FD7637"/>
    <w:rsid w:val="00FE222E"/>
    <w:rsid w:val="010F1E98"/>
    <w:rsid w:val="014E1CDA"/>
    <w:rsid w:val="02B67A0B"/>
    <w:rsid w:val="030D72CC"/>
    <w:rsid w:val="030E2F93"/>
    <w:rsid w:val="03856631"/>
    <w:rsid w:val="03AA0E87"/>
    <w:rsid w:val="03E80023"/>
    <w:rsid w:val="03F132B8"/>
    <w:rsid w:val="040242B9"/>
    <w:rsid w:val="049D29C1"/>
    <w:rsid w:val="04A0416A"/>
    <w:rsid w:val="05D12AAE"/>
    <w:rsid w:val="05FD65B4"/>
    <w:rsid w:val="06807159"/>
    <w:rsid w:val="068500E2"/>
    <w:rsid w:val="06C96AC1"/>
    <w:rsid w:val="06D06BC9"/>
    <w:rsid w:val="06E676A5"/>
    <w:rsid w:val="06F77FFF"/>
    <w:rsid w:val="07343044"/>
    <w:rsid w:val="082855F6"/>
    <w:rsid w:val="08564EFC"/>
    <w:rsid w:val="08596E47"/>
    <w:rsid w:val="08823365"/>
    <w:rsid w:val="08CB5EBF"/>
    <w:rsid w:val="08ED59A4"/>
    <w:rsid w:val="08ED6F3F"/>
    <w:rsid w:val="096C3474"/>
    <w:rsid w:val="09A3393B"/>
    <w:rsid w:val="09D14705"/>
    <w:rsid w:val="09DE13DA"/>
    <w:rsid w:val="09FF228D"/>
    <w:rsid w:val="0A545E18"/>
    <w:rsid w:val="0AEB466F"/>
    <w:rsid w:val="0AFA2BD3"/>
    <w:rsid w:val="0BA6352C"/>
    <w:rsid w:val="0BB30C0C"/>
    <w:rsid w:val="0BF35173"/>
    <w:rsid w:val="0C894325"/>
    <w:rsid w:val="0CA14157"/>
    <w:rsid w:val="0CF55D6E"/>
    <w:rsid w:val="0CF66D00"/>
    <w:rsid w:val="0D6A247D"/>
    <w:rsid w:val="0DF4283F"/>
    <w:rsid w:val="0E9433F2"/>
    <w:rsid w:val="0EBD4F9B"/>
    <w:rsid w:val="0F084B2E"/>
    <w:rsid w:val="0F356B5B"/>
    <w:rsid w:val="0F37255D"/>
    <w:rsid w:val="0F5653AF"/>
    <w:rsid w:val="0F676A89"/>
    <w:rsid w:val="0FC24B83"/>
    <w:rsid w:val="102725AE"/>
    <w:rsid w:val="107E5A6F"/>
    <w:rsid w:val="10FD67E2"/>
    <w:rsid w:val="10FF1C0F"/>
    <w:rsid w:val="11726406"/>
    <w:rsid w:val="11D8362B"/>
    <w:rsid w:val="120D1E2E"/>
    <w:rsid w:val="1252253B"/>
    <w:rsid w:val="12B776AF"/>
    <w:rsid w:val="13011929"/>
    <w:rsid w:val="13331C9F"/>
    <w:rsid w:val="13551BCC"/>
    <w:rsid w:val="13B1701D"/>
    <w:rsid w:val="14412E9A"/>
    <w:rsid w:val="14585E60"/>
    <w:rsid w:val="15A04DC4"/>
    <w:rsid w:val="16272C4C"/>
    <w:rsid w:val="162B55DD"/>
    <w:rsid w:val="166B28D8"/>
    <w:rsid w:val="16851696"/>
    <w:rsid w:val="172F50E4"/>
    <w:rsid w:val="17961637"/>
    <w:rsid w:val="17CB454B"/>
    <w:rsid w:val="17DF0DB3"/>
    <w:rsid w:val="180B2CD6"/>
    <w:rsid w:val="1820144C"/>
    <w:rsid w:val="182E3838"/>
    <w:rsid w:val="185275B7"/>
    <w:rsid w:val="18752A40"/>
    <w:rsid w:val="1924647C"/>
    <w:rsid w:val="194F3D3E"/>
    <w:rsid w:val="1A990FCF"/>
    <w:rsid w:val="1AD42807"/>
    <w:rsid w:val="1AE85005"/>
    <w:rsid w:val="1B274916"/>
    <w:rsid w:val="1B2A6DE1"/>
    <w:rsid w:val="1B34143E"/>
    <w:rsid w:val="1BDB2A7F"/>
    <w:rsid w:val="1C053528"/>
    <w:rsid w:val="1C192143"/>
    <w:rsid w:val="1C3C7DF9"/>
    <w:rsid w:val="1C644112"/>
    <w:rsid w:val="1CA620F5"/>
    <w:rsid w:val="1D36154C"/>
    <w:rsid w:val="1DBF1517"/>
    <w:rsid w:val="1DDA1623"/>
    <w:rsid w:val="1E0F2E6F"/>
    <w:rsid w:val="1E341659"/>
    <w:rsid w:val="1E6D349F"/>
    <w:rsid w:val="1E930135"/>
    <w:rsid w:val="1EA115B6"/>
    <w:rsid w:val="1EB94852"/>
    <w:rsid w:val="1EF2399D"/>
    <w:rsid w:val="1F3862E0"/>
    <w:rsid w:val="1F660D25"/>
    <w:rsid w:val="1F9F3930"/>
    <w:rsid w:val="1FDB6536"/>
    <w:rsid w:val="204C2143"/>
    <w:rsid w:val="2070748D"/>
    <w:rsid w:val="20AC5CEB"/>
    <w:rsid w:val="20C13E77"/>
    <w:rsid w:val="20DD31E9"/>
    <w:rsid w:val="20DE3E3C"/>
    <w:rsid w:val="21593B9F"/>
    <w:rsid w:val="21922A00"/>
    <w:rsid w:val="21D1130A"/>
    <w:rsid w:val="21F96B93"/>
    <w:rsid w:val="226719EE"/>
    <w:rsid w:val="22BD525D"/>
    <w:rsid w:val="22F2628B"/>
    <w:rsid w:val="234E5E1F"/>
    <w:rsid w:val="23DC69D4"/>
    <w:rsid w:val="244A54EB"/>
    <w:rsid w:val="244D3986"/>
    <w:rsid w:val="24733FD2"/>
    <w:rsid w:val="24C942EE"/>
    <w:rsid w:val="24DB0043"/>
    <w:rsid w:val="250A3016"/>
    <w:rsid w:val="254C672C"/>
    <w:rsid w:val="256919AA"/>
    <w:rsid w:val="26097018"/>
    <w:rsid w:val="266C51F1"/>
    <w:rsid w:val="26972BA7"/>
    <w:rsid w:val="26B733B9"/>
    <w:rsid w:val="26DB6235"/>
    <w:rsid w:val="27367961"/>
    <w:rsid w:val="276763D4"/>
    <w:rsid w:val="27826A83"/>
    <w:rsid w:val="27901B5C"/>
    <w:rsid w:val="279D6D57"/>
    <w:rsid w:val="283E5914"/>
    <w:rsid w:val="286750BB"/>
    <w:rsid w:val="286B306C"/>
    <w:rsid w:val="28F547E0"/>
    <w:rsid w:val="291A3DAA"/>
    <w:rsid w:val="29646D9E"/>
    <w:rsid w:val="29DE70A1"/>
    <w:rsid w:val="2A0E7DB3"/>
    <w:rsid w:val="2A803064"/>
    <w:rsid w:val="2B15030B"/>
    <w:rsid w:val="2B756818"/>
    <w:rsid w:val="2BA04AD2"/>
    <w:rsid w:val="2BA105A2"/>
    <w:rsid w:val="2BF64692"/>
    <w:rsid w:val="2BFD142F"/>
    <w:rsid w:val="2CA839E3"/>
    <w:rsid w:val="2CE33384"/>
    <w:rsid w:val="2E142CC3"/>
    <w:rsid w:val="2E644F41"/>
    <w:rsid w:val="2E8F6BED"/>
    <w:rsid w:val="2EBA49FC"/>
    <w:rsid w:val="2EBC10B4"/>
    <w:rsid w:val="2EEFA4C9"/>
    <w:rsid w:val="306A5204"/>
    <w:rsid w:val="307A2507"/>
    <w:rsid w:val="30824630"/>
    <w:rsid w:val="30C87D40"/>
    <w:rsid w:val="30CA5874"/>
    <w:rsid w:val="31274119"/>
    <w:rsid w:val="317142A7"/>
    <w:rsid w:val="31754798"/>
    <w:rsid w:val="31791208"/>
    <w:rsid w:val="317C7A2D"/>
    <w:rsid w:val="318A7BA8"/>
    <w:rsid w:val="31D00DCF"/>
    <w:rsid w:val="320F0164"/>
    <w:rsid w:val="32E7240E"/>
    <w:rsid w:val="334803CE"/>
    <w:rsid w:val="336C285F"/>
    <w:rsid w:val="340047D9"/>
    <w:rsid w:val="3414163C"/>
    <w:rsid w:val="342C341B"/>
    <w:rsid w:val="3459658E"/>
    <w:rsid w:val="347358B1"/>
    <w:rsid w:val="34EA71A6"/>
    <w:rsid w:val="34F640D2"/>
    <w:rsid w:val="35106DE6"/>
    <w:rsid w:val="351547B3"/>
    <w:rsid w:val="365739F5"/>
    <w:rsid w:val="37255901"/>
    <w:rsid w:val="37357226"/>
    <w:rsid w:val="37605718"/>
    <w:rsid w:val="37DB76AB"/>
    <w:rsid w:val="38385121"/>
    <w:rsid w:val="38D07C91"/>
    <w:rsid w:val="38EA7B8B"/>
    <w:rsid w:val="39943BAE"/>
    <w:rsid w:val="39CC2EB3"/>
    <w:rsid w:val="39D91B31"/>
    <w:rsid w:val="39DA17AB"/>
    <w:rsid w:val="3A115A05"/>
    <w:rsid w:val="3A2D6185"/>
    <w:rsid w:val="3A3D2933"/>
    <w:rsid w:val="3A714756"/>
    <w:rsid w:val="3A9215FF"/>
    <w:rsid w:val="3B073E4F"/>
    <w:rsid w:val="3B4B16B9"/>
    <w:rsid w:val="3B69794F"/>
    <w:rsid w:val="3BA96038"/>
    <w:rsid w:val="3C3D2EF5"/>
    <w:rsid w:val="3C581B0D"/>
    <w:rsid w:val="3CA8403A"/>
    <w:rsid w:val="3CB466B1"/>
    <w:rsid w:val="3CD55868"/>
    <w:rsid w:val="3CD5795B"/>
    <w:rsid w:val="3CDE561E"/>
    <w:rsid w:val="3DC8027B"/>
    <w:rsid w:val="3E463671"/>
    <w:rsid w:val="3E9758A4"/>
    <w:rsid w:val="3ED76605"/>
    <w:rsid w:val="3FF6362E"/>
    <w:rsid w:val="405225D9"/>
    <w:rsid w:val="40BE51B0"/>
    <w:rsid w:val="4141765F"/>
    <w:rsid w:val="41842281"/>
    <w:rsid w:val="418D3942"/>
    <w:rsid w:val="41BE509C"/>
    <w:rsid w:val="426F2BE3"/>
    <w:rsid w:val="42EE7379"/>
    <w:rsid w:val="434E67F7"/>
    <w:rsid w:val="43D00A24"/>
    <w:rsid w:val="44145BFA"/>
    <w:rsid w:val="443A665E"/>
    <w:rsid w:val="44664049"/>
    <w:rsid w:val="44AA331F"/>
    <w:rsid w:val="44D06EA0"/>
    <w:rsid w:val="45116732"/>
    <w:rsid w:val="4517646B"/>
    <w:rsid w:val="45563B1E"/>
    <w:rsid w:val="46097A89"/>
    <w:rsid w:val="46DB2687"/>
    <w:rsid w:val="47C81BC1"/>
    <w:rsid w:val="47DE5368"/>
    <w:rsid w:val="47E448D1"/>
    <w:rsid w:val="484C1C7C"/>
    <w:rsid w:val="4850730A"/>
    <w:rsid w:val="48B80B27"/>
    <w:rsid w:val="48DD7373"/>
    <w:rsid w:val="49176FA6"/>
    <w:rsid w:val="495C0247"/>
    <w:rsid w:val="49E03AE5"/>
    <w:rsid w:val="49FD1B8D"/>
    <w:rsid w:val="49FF6A22"/>
    <w:rsid w:val="4A771E20"/>
    <w:rsid w:val="4A7F6E63"/>
    <w:rsid w:val="4AC41749"/>
    <w:rsid w:val="4B4809D4"/>
    <w:rsid w:val="4BA63E60"/>
    <w:rsid w:val="4C123CD1"/>
    <w:rsid w:val="4C3E130D"/>
    <w:rsid w:val="4C534F6F"/>
    <w:rsid w:val="4C583EEC"/>
    <w:rsid w:val="4C6F2A89"/>
    <w:rsid w:val="4CA86D6E"/>
    <w:rsid w:val="4CAD5A44"/>
    <w:rsid w:val="4CCB5941"/>
    <w:rsid w:val="4D216DCF"/>
    <w:rsid w:val="4D6905F1"/>
    <w:rsid w:val="4D851E15"/>
    <w:rsid w:val="4D9B7F67"/>
    <w:rsid w:val="4DA10022"/>
    <w:rsid w:val="4E1E518A"/>
    <w:rsid w:val="4E4F63CB"/>
    <w:rsid w:val="4EAB7A7E"/>
    <w:rsid w:val="4EAD71ED"/>
    <w:rsid w:val="4F2F1AA6"/>
    <w:rsid w:val="4F4A36BE"/>
    <w:rsid w:val="4F657F1D"/>
    <w:rsid w:val="4FDD044F"/>
    <w:rsid w:val="505B700A"/>
    <w:rsid w:val="508332C3"/>
    <w:rsid w:val="50930C65"/>
    <w:rsid w:val="50E12FD6"/>
    <w:rsid w:val="50F82790"/>
    <w:rsid w:val="5110258C"/>
    <w:rsid w:val="51431659"/>
    <w:rsid w:val="516D7246"/>
    <w:rsid w:val="51FE143A"/>
    <w:rsid w:val="5230721F"/>
    <w:rsid w:val="52903D8B"/>
    <w:rsid w:val="529A6BB1"/>
    <w:rsid w:val="529A7A7B"/>
    <w:rsid w:val="529B1233"/>
    <w:rsid w:val="52A849B5"/>
    <w:rsid w:val="52B84D29"/>
    <w:rsid w:val="52DF19FE"/>
    <w:rsid w:val="53692723"/>
    <w:rsid w:val="53AD549F"/>
    <w:rsid w:val="53D054DE"/>
    <w:rsid w:val="53F25063"/>
    <w:rsid w:val="545F5CB2"/>
    <w:rsid w:val="546D4582"/>
    <w:rsid w:val="548D2A00"/>
    <w:rsid w:val="549E3721"/>
    <w:rsid w:val="549F62C5"/>
    <w:rsid w:val="54E46BCC"/>
    <w:rsid w:val="54F36C53"/>
    <w:rsid w:val="554A6B87"/>
    <w:rsid w:val="55673CEF"/>
    <w:rsid w:val="55747B29"/>
    <w:rsid w:val="55A747F1"/>
    <w:rsid w:val="55BF4F17"/>
    <w:rsid w:val="5632283D"/>
    <w:rsid w:val="56444CA9"/>
    <w:rsid w:val="564D3832"/>
    <w:rsid w:val="56655AA6"/>
    <w:rsid w:val="569922BE"/>
    <w:rsid w:val="56FC4340"/>
    <w:rsid w:val="57005741"/>
    <w:rsid w:val="57304201"/>
    <w:rsid w:val="57812BC2"/>
    <w:rsid w:val="582F541A"/>
    <w:rsid w:val="58805BB8"/>
    <w:rsid w:val="59476023"/>
    <w:rsid w:val="59631600"/>
    <w:rsid w:val="59820EC5"/>
    <w:rsid w:val="59945478"/>
    <w:rsid w:val="59AC154A"/>
    <w:rsid w:val="59F1651B"/>
    <w:rsid w:val="59F67620"/>
    <w:rsid w:val="5A8057A3"/>
    <w:rsid w:val="5A921F08"/>
    <w:rsid w:val="5B3C0731"/>
    <w:rsid w:val="5BDD49AE"/>
    <w:rsid w:val="5CDB53AF"/>
    <w:rsid w:val="5CF35FFB"/>
    <w:rsid w:val="5D5619C4"/>
    <w:rsid w:val="5DFA15C6"/>
    <w:rsid w:val="5DFD0C45"/>
    <w:rsid w:val="5E214A1C"/>
    <w:rsid w:val="5E51052F"/>
    <w:rsid w:val="5EE02B78"/>
    <w:rsid w:val="5F220D0D"/>
    <w:rsid w:val="5F3F31A2"/>
    <w:rsid w:val="5F5D521A"/>
    <w:rsid w:val="5F7A0EAB"/>
    <w:rsid w:val="5F7A2638"/>
    <w:rsid w:val="60D94A5D"/>
    <w:rsid w:val="615D5386"/>
    <w:rsid w:val="61B34577"/>
    <w:rsid w:val="620D7AAF"/>
    <w:rsid w:val="62AE79F2"/>
    <w:rsid w:val="63251C42"/>
    <w:rsid w:val="636627AF"/>
    <w:rsid w:val="63AA579D"/>
    <w:rsid w:val="641A00E4"/>
    <w:rsid w:val="64254A0C"/>
    <w:rsid w:val="646968C2"/>
    <w:rsid w:val="64AB7F28"/>
    <w:rsid w:val="64BA6E56"/>
    <w:rsid w:val="64D2161E"/>
    <w:rsid w:val="64D30670"/>
    <w:rsid w:val="64ED3E7C"/>
    <w:rsid w:val="65684A67"/>
    <w:rsid w:val="65904A2B"/>
    <w:rsid w:val="65B07A0D"/>
    <w:rsid w:val="667D5740"/>
    <w:rsid w:val="66A22240"/>
    <w:rsid w:val="670001FF"/>
    <w:rsid w:val="683455EB"/>
    <w:rsid w:val="68586BAF"/>
    <w:rsid w:val="68720514"/>
    <w:rsid w:val="691D78DC"/>
    <w:rsid w:val="69600EC1"/>
    <w:rsid w:val="69E62F80"/>
    <w:rsid w:val="6A632392"/>
    <w:rsid w:val="6AB04AC2"/>
    <w:rsid w:val="6AC25393"/>
    <w:rsid w:val="6AFE384E"/>
    <w:rsid w:val="6B315528"/>
    <w:rsid w:val="6B6B0803"/>
    <w:rsid w:val="6BDE2D87"/>
    <w:rsid w:val="6C5414EC"/>
    <w:rsid w:val="6C6B67FE"/>
    <w:rsid w:val="6CB410B1"/>
    <w:rsid w:val="6CE16ABF"/>
    <w:rsid w:val="6D1A5C74"/>
    <w:rsid w:val="6D24521E"/>
    <w:rsid w:val="6D691BB6"/>
    <w:rsid w:val="6DD94507"/>
    <w:rsid w:val="6F0F1B11"/>
    <w:rsid w:val="6F235291"/>
    <w:rsid w:val="6F354D64"/>
    <w:rsid w:val="6F5A766E"/>
    <w:rsid w:val="6F832AAB"/>
    <w:rsid w:val="6FF43E46"/>
    <w:rsid w:val="703800B8"/>
    <w:rsid w:val="70775E04"/>
    <w:rsid w:val="709C59FB"/>
    <w:rsid w:val="70BB3540"/>
    <w:rsid w:val="712B5F40"/>
    <w:rsid w:val="71300A1C"/>
    <w:rsid w:val="71BD7CE1"/>
    <w:rsid w:val="71D466BE"/>
    <w:rsid w:val="72087CA4"/>
    <w:rsid w:val="72956C67"/>
    <w:rsid w:val="73245250"/>
    <w:rsid w:val="7399663F"/>
    <w:rsid w:val="73AC3B08"/>
    <w:rsid w:val="74081F76"/>
    <w:rsid w:val="74BF5777"/>
    <w:rsid w:val="74E54CA8"/>
    <w:rsid w:val="74FE4172"/>
    <w:rsid w:val="750C6DE2"/>
    <w:rsid w:val="756513AA"/>
    <w:rsid w:val="75A35395"/>
    <w:rsid w:val="760F3DEA"/>
    <w:rsid w:val="774925DE"/>
    <w:rsid w:val="789B1FC0"/>
    <w:rsid w:val="78CF3B6C"/>
    <w:rsid w:val="78FA9C11"/>
    <w:rsid w:val="794E58F6"/>
    <w:rsid w:val="798042D3"/>
    <w:rsid w:val="79D76728"/>
    <w:rsid w:val="79E3203D"/>
    <w:rsid w:val="79E431D3"/>
    <w:rsid w:val="7A0225FD"/>
    <w:rsid w:val="7A3142F8"/>
    <w:rsid w:val="7A694BA3"/>
    <w:rsid w:val="7AD55F70"/>
    <w:rsid w:val="7ADB52AA"/>
    <w:rsid w:val="7B061867"/>
    <w:rsid w:val="7B457A13"/>
    <w:rsid w:val="7B5A56C2"/>
    <w:rsid w:val="7BAB413B"/>
    <w:rsid w:val="7BCFC57D"/>
    <w:rsid w:val="7BFB79C9"/>
    <w:rsid w:val="7C3E4103"/>
    <w:rsid w:val="7CFA4903"/>
    <w:rsid w:val="7D4C4306"/>
    <w:rsid w:val="7DC002B2"/>
    <w:rsid w:val="7DEC6EDE"/>
    <w:rsid w:val="7E314103"/>
    <w:rsid w:val="7E44087D"/>
    <w:rsid w:val="7F254521"/>
    <w:rsid w:val="7F5E760C"/>
    <w:rsid w:val="7F8E0BEB"/>
    <w:rsid w:val="7F9372A9"/>
    <w:rsid w:val="97F7AECC"/>
    <w:rsid w:val="AFBFC05D"/>
    <w:rsid w:val="B1F1B02B"/>
    <w:rsid w:val="BBFFB818"/>
    <w:rsid w:val="D6DF4CD6"/>
    <w:rsid w:val="DAB76E92"/>
    <w:rsid w:val="DFF7009E"/>
    <w:rsid w:val="DFFD058D"/>
    <w:rsid w:val="F3FFEF79"/>
    <w:rsid w:val="F7DA8B2E"/>
    <w:rsid w:val="F7FB9B24"/>
    <w:rsid w:val="FDFCD8C4"/>
    <w:rsid w:val="FFD7F0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iPriority="99"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600" w:lineRule="exact"/>
      <w:ind w:firstLine="643" w:firstLineChars="200"/>
      <w:jc w:val="both"/>
    </w:pPr>
    <w:rPr>
      <w:rFonts w:ascii="Times New Roman" w:hAnsi="Times New Roman" w:eastAsia="仿宋" w:cs="Times New Roman"/>
      <w:kern w:val="2"/>
      <w:sz w:val="32"/>
      <w:lang w:val="en-US" w:eastAsia="zh-CN" w:bidi="ar-SA"/>
    </w:rPr>
  </w:style>
  <w:style w:type="paragraph" w:styleId="3">
    <w:name w:val="heading 1"/>
    <w:basedOn w:val="1"/>
    <w:next w:val="1"/>
    <w:qFormat/>
    <w:uiPriority w:val="0"/>
    <w:pPr>
      <w:keepNext/>
      <w:keepLines/>
      <w:outlineLvl w:val="0"/>
    </w:pPr>
    <w:rPr>
      <w:rFonts w:eastAsia="黑体"/>
      <w:b/>
      <w:kern w:val="44"/>
      <w:sz w:val="36"/>
    </w:rPr>
  </w:style>
  <w:style w:type="paragraph" w:styleId="4">
    <w:name w:val="heading 2"/>
    <w:basedOn w:val="1"/>
    <w:next w:val="1"/>
    <w:unhideWhenUsed/>
    <w:qFormat/>
    <w:uiPriority w:val="0"/>
    <w:pPr>
      <w:keepNext/>
      <w:keepLines/>
      <w:outlineLvl w:val="1"/>
    </w:pPr>
    <w:rPr>
      <w:rFonts w:ascii="Arial" w:hAnsi="Arial" w:eastAsia="楷体"/>
      <w:b/>
    </w:rPr>
  </w:style>
  <w:style w:type="paragraph" w:styleId="5">
    <w:name w:val="heading 3"/>
    <w:basedOn w:val="1"/>
    <w:next w:val="1"/>
    <w:unhideWhenUsed/>
    <w:qFormat/>
    <w:uiPriority w:val="0"/>
    <w:pPr>
      <w:keepNext/>
      <w:keepLines/>
      <w:outlineLvl w:val="2"/>
    </w:pPr>
    <w:rPr>
      <w:b/>
    </w:rPr>
  </w:style>
  <w:style w:type="character" w:default="1" w:styleId="23">
    <w:name w:val="Default Paragraph Font"/>
    <w:unhideWhenUsed/>
    <w:qFormat/>
    <w:uiPriority w:val="1"/>
  </w:style>
  <w:style w:type="table" w:default="1" w:styleId="21">
    <w:name w:val="Normal Table"/>
    <w:unhideWhenUsed/>
    <w:qFormat/>
    <w:uiPriority w:val="99"/>
    <w:tblPr>
      <w:tblCellMar>
        <w:top w:w="0" w:type="dxa"/>
        <w:left w:w="108" w:type="dxa"/>
        <w:bottom w:w="0" w:type="dxa"/>
        <w:right w:w="108" w:type="dxa"/>
      </w:tblCellMar>
    </w:tblPr>
  </w:style>
  <w:style w:type="paragraph" w:customStyle="1" w:styleId="2">
    <w:name w:val="BodyText"/>
    <w:basedOn w:val="1"/>
    <w:qFormat/>
    <w:uiPriority w:val="0"/>
    <w:pPr>
      <w:widowControl/>
      <w:jc w:val="center"/>
    </w:pPr>
    <w:rPr>
      <w:sz w:val="48"/>
    </w:rPr>
  </w:style>
  <w:style w:type="paragraph" w:styleId="6">
    <w:name w:val="table of authorities"/>
    <w:basedOn w:val="1"/>
    <w:next w:val="1"/>
    <w:qFormat/>
    <w:uiPriority w:val="0"/>
    <w:pPr>
      <w:ind w:left="420" w:leftChars="200"/>
    </w:pPr>
    <w:rPr>
      <w:rFonts w:eastAsia="宋体"/>
      <w:sz w:val="21"/>
      <w:szCs w:val="22"/>
    </w:rPr>
  </w:style>
  <w:style w:type="paragraph" w:styleId="7">
    <w:name w:val="index 5"/>
    <w:basedOn w:val="1"/>
    <w:next w:val="1"/>
    <w:unhideWhenUsed/>
    <w:qFormat/>
    <w:uiPriority w:val="99"/>
    <w:pPr>
      <w:ind w:left="800" w:leftChars="800"/>
    </w:pPr>
  </w:style>
  <w:style w:type="paragraph" w:styleId="8">
    <w:name w:val="Document Map"/>
    <w:basedOn w:val="1"/>
    <w:link w:val="41"/>
    <w:qFormat/>
    <w:uiPriority w:val="0"/>
    <w:rPr>
      <w:rFonts w:ascii="宋体" w:eastAsia="宋体"/>
      <w:sz w:val="18"/>
      <w:szCs w:val="18"/>
    </w:rPr>
  </w:style>
  <w:style w:type="paragraph" w:styleId="9">
    <w:name w:val="annotation text"/>
    <w:basedOn w:val="1"/>
    <w:link w:val="48"/>
    <w:qFormat/>
    <w:uiPriority w:val="0"/>
    <w:pPr>
      <w:jc w:val="left"/>
    </w:pPr>
  </w:style>
  <w:style w:type="paragraph" w:styleId="10">
    <w:name w:val="Body Text Indent"/>
    <w:basedOn w:val="1"/>
    <w:unhideWhenUsed/>
    <w:qFormat/>
    <w:uiPriority w:val="99"/>
    <w:pPr>
      <w:spacing w:after="120"/>
      <w:ind w:left="420" w:leftChars="200"/>
    </w:pPr>
  </w:style>
  <w:style w:type="paragraph" w:styleId="11">
    <w:name w:val="toc 3"/>
    <w:basedOn w:val="1"/>
    <w:next w:val="1"/>
    <w:qFormat/>
    <w:uiPriority w:val="39"/>
    <w:pPr>
      <w:ind w:left="840" w:leftChars="400" w:firstLine="1687" w:firstLineChars="600"/>
    </w:pPr>
  </w:style>
  <w:style w:type="paragraph" w:styleId="12">
    <w:name w:val="Body Text Indent 2"/>
    <w:basedOn w:val="1"/>
    <w:qFormat/>
    <w:uiPriority w:val="0"/>
    <w:pPr>
      <w:ind w:firstLine="630"/>
    </w:pPr>
    <w:rPr>
      <w:rFonts w:ascii="楷体_GB2312"/>
      <w:sz w:val="28"/>
      <w:szCs w:val="28"/>
    </w:rPr>
  </w:style>
  <w:style w:type="paragraph" w:styleId="13">
    <w:name w:val="Balloon Text"/>
    <w:basedOn w:val="1"/>
    <w:link w:val="42"/>
    <w:qFormat/>
    <w:uiPriority w:val="0"/>
    <w:pPr>
      <w:spacing w:line="240" w:lineRule="auto"/>
    </w:pPr>
    <w:rPr>
      <w:sz w:val="18"/>
      <w:szCs w:val="18"/>
    </w:rPr>
  </w:style>
  <w:style w:type="paragraph" w:styleId="14">
    <w:name w:val="footer"/>
    <w:basedOn w:val="1"/>
    <w:link w:val="40"/>
    <w:qFormat/>
    <w:uiPriority w:val="0"/>
    <w:pPr>
      <w:tabs>
        <w:tab w:val="center" w:pos="4153"/>
        <w:tab w:val="right" w:pos="8306"/>
      </w:tabs>
      <w:snapToGrid w:val="0"/>
      <w:spacing w:line="240" w:lineRule="atLeast"/>
      <w:jc w:val="left"/>
    </w:pPr>
    <w:rPr>
      <w:sz w:val="18"/>
      <w:szCs w:val="18"/>
    </w:rPr>
  </w:style>
  <w:style w:type="paragraph" w:styleId="15">
    <w:name w:val="header"/>
    <w:basedOn w:val="1"/>
    <w:link w:val="39"/>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16">
    <w:name w:val="toc 1"/>
    <w:basedOn w:val="1"/>
    <w:next w:val="1"/>
    <w:qFormat/>
    <w:uiPriority w:val="39"/>
    <w:rPr>
      <w:rFonts w:eastAsia="黑体"/>
    </w:rPr>
  </w:style>
  <w:style w:type="paragraph" w:styleId="17">
    <w:name w:val="toc 2"/>
    <w:basedOn w:val="1"/>
    <w:next w:val="1"/>
    <w:qFormat/>
    <w:uiPriority w:val="39"/>
    <w:pPr>
      <w:adjustRightInd w:val="0"/>
      <w:snapToGrid w:val="0"/>
      <w:ind w:left="420" w:leftChars="200" w:firstLine="1124" w:firstLineChars="400"/>
    </w:pPr>
    <w:rPr>
      <w:rFonts w:eastAsia="楷体"/>
    </w:rPr>
  </w:style>
  <w:style w:type="paragraph" w:styleId="18">
    <w:name w:val="Normal (Web)"/>
    <w:basedOn w:val="1"/>
    <w:qFormat/>
    <w:uiPriority w:val="0"/>
    <w:pPr>
      <w:spacing w:beforeAutospacing="1" w:afterAutospacing="1"/>
      <w:jc w:val="left"/>
    </w:pPr>
    <w:rPr>
      <w:kern w:val="0"/>
      <w:sz w:val="24"/>
    </w:rPr>
  </w:style>
  <w:style w:type="paragraph" w:styleId="19">
    <w:name w:val="annotation subject"/>
    <w:basedOn w:val="9"/>
    <w:next w:val="9"/>
    <w:link w:val="49"/>
    <w:qFormat/>
    <w:uiPriority w:val="0"/>
    <w:rPr>
      <w:b/>
      <w:bCs/>
    </w:rPr>
  </w:style>
  <w:style w:type="paragraph" w:styleId="20">
    <w:name w:val="Body Text First Indent 2"/>
    <w:basedOn w:val="10"/>
    <w:qFormat/>
    <w:uiPriority w:val="0"/>
    <w:pPr>
      <w:adjustRightInd w:val="0"/>
      <w:snapToGrid w:val="0"/>
      <w:spacing w:line="360" w:lineRule="auto"/>
      <w:ind w:left="200" w:firstLine="420"/>
    </w:pPr>
    <w:rPr>
      <w:szCs w:val="24"/>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22"/>
    <w:rPr>
      <w:b/>
    </w:rPr>
  </w:style>
  <w:style w:type="character" w:styleId="25">
    <w:name w:val="page number"/>
    <w:basedOn w:val="23"/>
    <w:qFormat/>
    <w:uiPriority w:val="0"/>
  </w:style>
  <w:style w:type="character" w:styleId="26">
    <w:name w:val="FollowedHyperlink"/>
    <w:basedOn w:val="23"/>
    <w:qFormat/>
    <w:uiPriority w:val="0"/>
    <w:rPr>
      <w:color w:val="000000"/>
      <w:sz w:val="21"/>
      <w:szCs w:val="21"/>
      <w:u w:val="none"/>
    </w:rPr>
  </w:style>
  <w:style w:type="character" w:styleId="27">
    <w:name w:val="Emphasis"/>
    <w:basedOn w:val="23"/>
    <w:qFormat/>
    <w:uiPriority w:val="0"/>
  </w:style>
  <w:style w:type="character" w:styleId="28">
    <w:name w:val="HTML Definition"/>
    <w:basedOn w:val="23"/>
    <w:qFormat/>
    <w:uiPriority w:val="0"/>
  </w:style>
  <w:style w:type="character" w:styleId="29">
    <w:name w:val="HTML Acronym"/>
    <w:basedOn w:val="23"/>
    <w:qFormat/>
    <w:uiPriority w:val="0"/>
  </w:style>
  <w:style w:type="character" w:styleId="30">
    <w:name w:val="HTML Variable"/>
    <w:basedOn w:val="23"/>
    <w:qFormat/>
    <w:uiPriority w:val="0"/>
  </w:style>
  <w:style w:type="character" w:styleId="31">
    <w:name w:val="Hyperlink"/>
    <w:basedOn w:val="23"/>
    <w:qFormat/>
    <w:uiPriority w:val="99"/>
    <w:rPr>
      <w:color w:val="0563C1" w:themeColor="hyperlink"/>
      <w:u w:val="single"/>
      <w14:textFill>
        <w14:solidFill>
          <w14:schemeClr w14:val="hlink"/>
        </w14:solidFill>
      </w14:textFill>
    </w:rPr>
  </w:style>
  <w:style w:type="character" w:styleId="32">
    <w:name w:val="HTML Code"/>
    <w:basedOn w:val="23"/>
    <w:qFormat/>
    <w:uiPriority w:val="0"/>
    <w:rPr>
      <w:rFonts w:hint="default" w:ascii="Courier New" w:hAnsi="Courier New" w:eastAsia="Courier New" w:cs="Courier New"/>
      <w:sz w:val="20"/>
    </w:rPr>
  </w:style>
  <w:style w:type="character" w:styleId="33">
    <w:name w:val="annotation reference"/>
    <w:basedOn w:val="23"/>
    <w:qFormat/>
    <w:uiPriority w:val="0"/>
    <w:rPr>
      <w:sz w:val="21"/>
      <w:szCs w:val="21"/>
    </w:rPr>
  </w:style>
  <w:style w:type="character" w:styleId="34">
    <w:name w:val="HTML Cite"/>
    <w:basedOn w:val="23"/>
    <w:qFormat/>
    <w:uiPriority w:val="0"/>
    <w:rPr>
      <w:color w:val="FF0000"/>
      <w:sz w:val="21"/>
      <w:szCs w:val="21"/>
      <w:u w:val="none"/>
    </w:rPr>
  </w:style>
  <w:style w:type="character" w:styleId="35">
    <w:name w:val="HTML Keyboard"/>
    <w:basedOn w:val="23"/>
    <w:qFormat/>
    <w:uiPriority w:val="0"/>
    <w:rPr>
      <w:rFonts w:hint="default" w:ascii="Courier New" w:hAnsi="Courier New" w:eastAsia="Courier New" w:cs="Courier New"/>
      <w:sz w:val="20"/>
    </w:rPr>
  </w:style>
  <w:style w:type="character" w:styleId="36">
    <w:name w:val="HTML Sample"/>
    <w:basedOn w:val="23"/>
    <w:qFormat/>
    <w:uiPriority w:val="0"/>
    <w:rPr>
      <w:rFonts w:ascii="Courier New" w:hAnsi="Courier New" w:eastAsia="Courier New" w:cs="Courier New"/>
    </w:rPr>
  </w:style>
  <w:style w:type="paragraph" w:customStyle="1" w:styleId="37">
    <w:name w:val="Normal Indent1"/>
    <w:basedOn w:val="1"/>
    <w:qFormat/>
    <w:uiPriority w:val="99"/>
    <w:pPr>
      <w:ind w:firstLine="420"/>
    </w:pPr>
  </w:style>
  <w:style w:type="paragraph" w:customStyle="1" w:styleId="38">
    <w:name w:val="Normal1"/>
    <w:basedOn w:val="1"/>
    <w:qFormat/>
    <w:uiPriority w:val="0"/>
    <w:pPr>
      <w:widowControl/>
    </w:pPr>
  </w:style>
  <w:style w:type="character" w:customStyle="1" w:styleId="39">
    <w:name w:val="页眉 字符"/>
    <w:basedOn w:val="23"/>
    <w:link w:val="15"/>
    <w:qFormat/>
    <w:uiPriority w:val="0"/>
    <w:rPr>
      <w:rFonts w:ascii="Times New Roman" w:hAnsi="Times New Roman" w:eastAsia="仿宋"/>
      <w:kern w:val="2"/>
      <w:sz w:val="18"/>
      <w:szCs w:val="18"/>
    </w:rPr>
  </w:style>
  <w:style w:type="character" w:customStyle="1" w:styleId="40">
    <w:name w:val="页脚 字符"/>
    <w:basedOn w:val="23"/>
    <w:link w:val="14"/>
    <w:qFormat/>
    <w:uiPriority w:val="0"/>
    <w:rPr>
      <w:rFonts w:ascii="Times New Roman" w:hAnsi="Times New Roman" w:eastAsia="仿宋"/>
      <w:kern w:val="2"/>
      <w:sz w:val="18"/>
      <w:szCs w:val="18"/>
    </w:rPr>
  </w:style>
  <w:style w:type="character" w:customStyle="1" w:styleId="41">
    <w:name w:val="文档结构图 字符"/>
    <w:basedOn w:val="23"/>
    <w:link w:val="8"/>
    <w:qFormat/>
    <w:uiPriority w:val="0"/>
    <w:rPr>
      <w:rFonts w:ascii="宋体" w:hAnsi="Times New Roman"/>
      <w:kern w:val="2"/>
      <w:sz w:val="18"/>
      <w:szCs w:val="18"/>
    </w:rPr>
  </w:style>
  <w:style w:type="character" w:customStyle="1" w:styleId="42">
    <w:name w:val="批注框文本 字符"/>
    <w:basedOn w:val="23"/>
    <w:link w:val="13"/>
    <w:qFormat/>
    <w:uiPriority w:val="0"/>
    <w:rPr>
      <w:rFonts w:ascii="Times New Roman" w:hAnsi="Times New Roman" w:eastAsia="仿宋"/>
      <w:kern w:val="2"/>
      <w:sz w:val="18"/>
      <w:szCs w:val="18"/>
    </w:rPr>
  </w:style>
  <w:style w:type="paragraph" w:customStyle="1" w:styleId="4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44">
    <w:name w:val="列表段落1"/>
    <w:basedOn w:val="1"/>
    <w:qFormat/>
    <w:uiPriority w:val="34"/>
    <w:pPr>
      <w:ind w:firstLine="420"/>
    </w:pPr>
    <w:rPr>
      <w:rFonts w:ascii="Calibri" w:hAnsi="Calibri"/>
      <w:szCs w:val="22"/>
    </w:rPr>
  </w:style>
  <w:style w:type="paragraph" w:customStyle="1" w:styleId="45">
    <w:name w:val="Other|1"/>
    <w:basedOn w:val="1"/>
    <w:qFormat/>
    <w:uiPriority w:val="0"/>
    <w:rPr>
      <w:rFonts w:ascii="宋体" w:hAnsi="宋体" w:eastAsia="宋体" w:cs="宋体"/>
      <w:sz w:val="14"/>
      <w:szCs w:val="14"/>
      <w:lang w:val="zh-TW" w:eastAsia="zh-TW" w:bidi="zh-TW"/>
    </w:rPr>
  </w:style>
  <w:style w:type="character" w:customStyle="1" w:styleId="46">
    <w:name w:val="font01"/>
    <w:basedOn w:val="23"/>
    <w:qFormat/>
    <w:uiPriority w:val="0"/>
    <w:rPr>
      <w:rFonts w:hint="eastAsia" w:ascii="方正仿宋_GBK" w:hAnsi="方正仿宋_GBK" w:eastAsia="方正仿宋_GBK" w:cs="方正仿宋_GBK"/>
      <w:color w:val="000000"/>
      <w:sz w:val="28"/>
      <w:szCs w:val="28"/>
      <w:u w:val="none"/>
    </w:rPr>
  </w:style>
  <w:style w:type="character" w:customStyle="1" w:styleId="47">
    <w:name w:val="font11"/>
    <w:basedOn w:val="23"/>
    <w:qFormat/>
    <w:uiPriority w:val="0"/>
    <w:rPr>
      <w:rFonts w:hint="default" w:ascii="Times New Roman" w:hAnsi="Times New Roman" w:cs="Times New Roman"/>
      <w:color w:val="000000"/>
      <w:sz w:val="28"/>
      <w:szCs w:val="28"/>
      <w:u w:val="none"/>
    </w:rPr>
  </w:style>
  <w:style w:type="character" w:customStyle="1" w:styleId="48">
    <w:name w:val="批注文字 字符"/>
    <w:basedOn w:val="23"/>
    <w:link w:val="9"/>
    <w:qFormat/>
    <w:uiPriority w:val="0"/>
    <w:rPr>
      <w:rFonts w:eastAsia="仿宋"/>
      <w:kern w:val="2"/>
      <w:sz w:val="32"/>
    </w:rPr>
  </w:style>
  <w:style w:type="character" w:customStyle="1" w:styleId="49">
    <w:name w:val="批注主题 字符"/>
    <w:basedOn w:val="48"/>
    <w:link w:val="19"/>
    <w:qFormat/>
    <w:uiPriority w:val="0"/>
    <w:rPr>
      <w:rFonts w:eastAsia="仿宋"/>
      <w:b/>
      <w:bCs/>
      <w:kern w:val="2"/>
      <w:sz w:val="32"/>
    </w:rPr>
  </w:style>
  <w:style w:type="character" w:customStyle="1" w:styleId="50">
    <w:name w:val="NormalCharacter"/>
    <w:qFormat/>
    <w:uiPriority w:val="0"/>
    <w:rPr>
      <w:rFonts w:ascii="Calibri" w:hAnsi="Calibri"/>
      <w:kern w:val="2"/>
      <w:sz w:val="21"/>
      <w:szCs w:val="24"/>
      <w:lang w:val="en-US" w:eastAsia="zh-CN" w:bidi="ar-SA"/>
    </w:rPr>
  </w:style>
  <w:style w:type="character" w:customStyle="1" w:styleId="51">
    <w:name w:val="font61"/>
    <w:basedOn w:val="23"/>
    <w:qFormat/>
    <w:uiPriority w:val="0"/>
    <w:rPr>
      <w:rFonts w:hint="default" w:ascii="Times New Roman" w:hAnsi="Times New Roman" w:cs="Times New Roman"/>
      <w:b/>
      <w:bCs/>
      <w:color w:val="000000"/>
      <w:sz w:val="28"/>
      <w:szCs w:val="28"/>
      <w:u w:val="none"/>
    </w:rPr>
  </w:style>
  <w:style w:type="character" w:customStyle="1" w:styleId="52">
    <w:name w:val="font41"/>
    <w:basedOn w:val="23"/>
    <w:qFormat/>
    <w:uiPriority w:val="0"/>
    <w:rPr>
      <w:rFonts w:hint="eastAsia" w:ascii="方正仿宋_GBK" w:hAnsi="方正仿宋_GBK" w:eastAsia="方正仿宋_GBK" w:cs="方正仿宋_GBK"/>
      <w:b/>
      <w:bCs/>
      <w:color w:val="000000"/>
      <w:sz w:val="28"/>
      <w:szCs w:val="28"/>
      <w:u w:val="none"/>
    </w:rPr>
  </w:style>
  <w:style w:type="character" w:customStyle="1" w:styleId="53">
    <w:name w:val="font31"/>
    <w:basedOn w:val="23"/>
    <w:qFormat/>
    <w:uiPriority w:val="0"/>
    <w:rPr>
      <w:rFonts w:hint="default" w:ascii="Times New Roman" w:hAnsi="Times New Roman" w:cs="Times New Roman"/>
      <w:color w:val="000000"/>
      <w:sz w:val="28"/>
      <w:szCs w:val="28"/>
      <w:u w:val="none"/>
    </w:rPr>
  </w:style>
  <w:style w:type="character" w:customStyle="1" w:styleId="54">
    <w:name w:val="font51"/>
    <w:basedOn w:val="23"/>
    <w:qFormat/>
    <w:uiPriority w:val="0"/>
    <w:rPr>
      <w:rFonts w:hint="eastAsia" w:ascii="方正仿宋_GBK" w:hAnsi="方正仿宋_GBK" w:eastAsia="方正仿宋_GBK" w:cs="方正仿宋_GBK"/>
      <w:color w:val="000000"/>
      <w:sz w:val="28"/>
      <w:szCs w:val="28"/>
      <w:u w:val="none"/>
    </w:rPr>
  </w:style>
  <w:style w:type="character" w:customStyle="1" w:styleId="55">
    <w:name w:val="font21"/>
    <w:basedOn w:val="23"/>
    <w:qFormat/>
    <w:uiPriority w:val="0"/>
    <w:rPr>
      <w:rFonts w:hint="eastAsia" w:ascii="方正仿宋_GBK" w:hAnsi="方正仿宋_GBK" w:eastAsia="方正仿宋_GBK" w:cs="方正仿宋_GBK"/>
      <w:color w:val="000000"/>
      <w:sz w:val="28"/>
      <w:szCs w:val="28"/>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微软用户</Company>
  <Pages>54</Pages>
  <Words>4820</Words>
  <Characters>27478</Characters>
  <Lines>228</Lines>
  <Paragraphs>64</Paragraphs>
  <TotalTime>7</TotalTime>
  <ScaleCrop>false</ScaleCrop>
  <LinksUpToDate>false</LinksUpToDate>
  <CharactersWithSpaces>32234</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2020-12-05T10:22:00Z</dcterms:created>
  <dc:creator>Administrator</dc:creator>
  <cp:lastModifiedBy>user</cp:lastModifiedBy>
  <cp:lastPrinted>2020-12-18T15:54:00Z</cp:lastPrinted>
  <dcterms:modified xsi:type="dcterms:W3CDTF">2021-11-18T17:53:14Z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y fmtid="{D5CDD505-2E9C-101B-9397-08002B2CF9AE}" pid="3" name="KSOSaveFontToCloudKey">
    <vt:lpwstr>554107044_btnclosed</vt:lpwstr>
  </property>
  <property fmtid="{D5CDD505-2E9C-101B-9397-08002B2CF9AE}" pid="4" name="ICV">
    <vt:lpwstr>FBE6607DD9E14574B1473D2BC0EB5364</vt:lpwstr>
  </property>
</Properties>
</file>